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6D1B" w:rsidRDefault="008D6D1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D6D1B" w:rsidRDefault="008D6D1B">
      <w:pPr>
        <w:pStyle w:val="ConsPlusNormal"/>
        <w:jc w:val="both"/>
        <w:outlineLvl w:val="0"/>
      </w:pPr>
    </w:p>
    <w:p w:rsidR="008D6D1B" w:rsidRDefault="008D6D1B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8D6D1B" w:rsidRDefault="008D6D1B">
      <w:pPr>
        <w:pStyle w:val="ConsPlusTitle"/>
        <w:jc w:val="center"/>
      </w:pPr>
    </w:p>
    <w:p w:rsidR="008D6D1B" w:rsidRDefault="008D6D1B">
      <w:pPr>
        <w:pStyle w:val="ConsPlusTitle"/>
        <w:jc w:val="center"/>
      </w:pPr>
      <w:r>
        <w:t>ИНФОРМАЦИЯ</w:t>
      </w:r>
    </w:p>
    <w:p w:rsidR="008D6D1B" w:rsidRDefault="008D6D1B">
      <w:pPr>
        <w:pStyle w:val="ConsPlusTitle"/>
        <w:jc w:val="center"/>
      </w:pPr>
    </w:p>
    <w:p w:rsidR="008D6D1B" w:rsidRDefault="008D6D1B">
      <w:pPr>
        <w:pStyle w:val="ConsPlusTitle"/>
        <w:jc w:val="center"/>
      </w:pPr>
      <w:r>
        <w:t>ОСНОВНЫЕ НОВЕЛЛЫ</w:t>
      </w:r>
    </w:p>
    <w:p w:rsidR="008D6D1B" w:rsidRDefault="008D6D1B">
      <w:pPr>
        <w:pStyle w:val="ConsPlusTitle"/>
        <w:jc w:val="center"/>
      </w:pPr>
      <w:r>
        <w:t>В МЕТОДИЧЕСКИХ РЕКОМЕНДАЦИЯХ ПО ВОПРОСАМ ПРЕДСТАВЛЕНИЯ</w:t>
      </w:r>
    </w:p>
    <w:p w:rsidR="008D6D1B" w:rsidRDefault="008D6D1B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8D6D1B" w:rsidRDefault="008D6D1B">
      <w:pPr>
        <w:pStyle w:val="ConsPlusTitle"/>
        <w:jc w:val="center"/>
      </w:pPr>
      <w:r>
        <w:t>ИМУЩЕСТВЕННОГО ХАРАКТЕРА И ЗАПОЛНЕНИЯ СООТВЕТСТВУЮЩЕЙ ФОРМЫ</w:t>
      </w:r>
    </w:p>
    <w:p w:rsidR="008D6D1B" w:rsidRDefault="008D6D1B">
      <w:pPr>
        <w:pStyle w:val="ConsPlusTitle"/>
        <w:jc w:val="center"/>
      </w:pPr>
      <w:r>
        <w:t>СПРАВКИ В 2023 ГОДУ (ЗА ОТЧЕТНЫЙ 2022 ГОД)</w:t>
      </w:r>
    </w:p>
    <w:p w:rsidR="008D6D1B" w:rsidRDefault="008D6D1B">
      <w:pPr>
        <w:pStyle w:val="ConsPlusNormal"/>
        <w:jc w:val="center"/>
      </w:pPr>
    </w:p>
    <w:p w:rsidR="008D6D1B" w:rsidRDefault="008D6D1B">
      <w:pPr>
        <w:pStyle w:val="ConsPlusNormal"/>
        <w:ind w:firstLine="540"/>
        <w:jc w:val="both"/>
      </w:pPr>
      <w:r>
        <w:t xml:space="preserve">В течение последних лет является устоявшейся практика подготовки Министерством труда и социальной защиты Российской Федерации ежегодно обновляемых Методических </w:t>
      </w:r>
      <w:hyperlink r:id="rId5">
        <w:r>
          <w:rPr>
            <w:color w:val="0000FF"/>
          </w:rPr>
          <w:t>рекомендаций</w:t>
        </w:r>
      </w:hyperlink>
      <w:r>
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(далее - Методические рекомендации, сведения соответственно), размещения их на официальном сайте Минтруда России.</w:t>
      </w:r>
    </w:p>
    <w:p w:rsidR="008D6D1B" w:rsidRDefault="008D6D1B">
      <w:pPr>
        <w:pStyle w:val="ConsPlusNormal"/>
        <w:spacing w:before="220"/>
        <w:ind w:firstLine="540"/>
        <w:jc w:val="both"/>
      </w:pPr>
      <w:r>
        <w:t xml:space="preserve">Методические </w:t>
      </w:r>
      <w:hyperlink r:id="rId6">
        <w:r>
          <w:rPr>
            <w:color w:val="0000FF"/>
          </w:rPr>
          <w:t>рекомендации</w:t>
        </w:r>
      </w:hyperlink>
      <w:r>
        <w:t xml:space="preserve"> для применения в ходе декларационной кампании 2023 года (за отчетный 2022 год) подготовлены Министерством при участии Администрации Президента Российской Федерации, Центрального банка Российской Федерации, Генеральной прокуратуры Российской Федерации и иных заинтересованных федеральных государственных органов.</w:t>
      </w:r>
    </w:p>
    <w:p w:rsidR="008D6D1B" w:rsidRDefault="008D6D1B">
      <w:pPr>
        <w:pStyle w:val="ConsPlusNormal"/>
        <w:spacing w:before="220"/>
        <w:ind w:firstLine="540"/>
        <w:jc w:val="both"/>
      </w:pPr>
      <w:r>
        <w:t xml:space="preserve">В ходе использования в работе указанных Методических </w:t>
      </w:r>
      <w:hyperlink r:id="rId7">
        <w:r>
          <w:rPr>
            <w:color w:val="0000FF"/>
          </w:rPr>
          <w:t>рекомендаций</w:t>
        </w:r>
      </w:hyperlink>
      <w:r>
        <w:t xml:space="preserve"> предлагаем обратить внимание на следующее.</w:t>
      </w:r>
    </w:p>
    <w:p w:rsidR="008D6D1B" w:rsidRDefault="008D6D1B">
      <w:pPr>
        <w:pStyle w:val="ConsPlusNormal"/>
        <w:spacing w:before="220"/>
        <w:ind w:firstLine="540"/>
        <w:jc w:val="both"/>
      </w:pPr>
      <w:r>
        <w:t xml:space="preserve">1. Методические </w:t>
      </w:r>
      <w:hyperlink r:id="rId8">
        <w:r>
          <w:rPr>
            <w:color w:val="0000FF"/>
          </w:rPr>
          <w:t>рекомендации</w:t>
        </w:r>
      </w:hyperlink>
      <w:r>
        <w:t xml:space="preserve">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и Херсонской области, а также отдельными категориями лиц в связи с проведением специальной военной операции.</w:t>
      </w:r>
    </w:p>
    <w:p w:rsidR="008D6D1B" w:rsidRDefault="008D6D1B">
      <w:pPr>
        <w:pStyle w:val="ConsPlusNormal"/>
        <w:spacing w:before="220"/>
        <w:ind w:firstLine="540"/>
        <w:jc w:val="both"/>
      </w:pPr>
      <w:r>
        <w:t xml:space="preserve">2. В Методических </w:t>
      </w:r>
      <w:hyperlink r:id="rId9">
        <w:r>
          <w:rPr>
            <w:color w:val="0000FF"/>
          </w:rPr>
          <w:t>рекомендациях</w:t>
        </w:r>
      </w:hyperlink>
      <w:r>
        <w:t xml:space="preserve"> предлагается определенная иерархия организации работы по оказанию консультативной и методической помощи в представлении сведений.</w:t>
      </w:r>
    </w:p>
    <w:p w:rsidR="008D6D1B" w:rsidRDefault="008D6D1B">
      <w:pPr>
        <w:pStyle w:val="ConsPlusNormal"/>
        <w:spacing w:before="220"/>
        <w:ind w:firstLine="540"/>
        <w:jc w:val="both"/>
      </w:pPr>
      <w:r>
        <w:t xml:space="preserve">3. В </w:t>
      </w:r>
      <w:hyperlink r:id="rId10">
        <w:r>
          <w:rPr>
            <w:color w:val="0000FF"/>
          </w:rPr>
          <w:t>пункте 20</w:t>
        </w:r>
      </w:hyperlink>
      <w:r>
        <w:t xml:space="preserve"> Методических рекомендаций подчеркнуто, 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8D6D1B" w:rsidRDefault="008D6D1B">
      <w:pPr>
        <w:pStyle w:val="ConsPlusNormal"/>
        <w:spacing w:before="220"/>
        <w:ind w:firstLine="540"/>
        <w:jc w:val="both"/>
      </w:pPr>
      <w:r>
        <w:t>4. Отмечено, что уточненные сведения за предыдущие декларационные кампании не представляются, но в рамках текущей декларационной кампании к сведениям могут быть приложены применимые пояснения (</w:t>
      </w:r>
      <w:hyperlink r:id="rId11">
        <w:r>
          <w:rPr>
            <w:color w:val="0000FF"/>
          </w:rPr>
          <w:t>пункт 37</w:t>
        </w:r>
      </w:hyperlink>
      <w:r>
        <w:t xml:space="preserve"> Методических рекомендаций).</w:t>
      </w:r>
    </w:p>
    <w:p w:rsidR="008D6D1B" w:rsidRDefault="008D6D1B">
      <w:pPr>
        <w:pStyle w:val="ConsPlusNormal"/>
        <w:spacing w:before="220"/>
        <w:ind w:firstLine="540"/>
        <w:jc w:val="both"/>
      </w:pPr>
      <w:r>
        <w:t xml:space="preserve">5. В </w:t>
      </w:r>
      <w:hyperlink r:id="rId12">
        <w:r>
          <w:rPr>
            <w:color w:val="0000FF"/>
          </w:rPr>
          <w:t>пункте 44</w:t>
        </w:r>
      </w:hyperlink>
      <w:r>
        <w:t xml:space="preserve">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8D6D1B" w:rsidRDefault="008D6D1B">
      <w:pPr>
        <w:pStyle w:val="ConsPlusNormal"/>
        <w:spacing w:before="220"/>
        <w:ind w:firstLine="540"/>
        <w:jc w:val="both"/>
      </w:pPr>
      <w:r>
        <w:t>6. 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8D6D1B" w:rsidRDefault="008D6D1B">
      <w:pPr>
        <w:pStyle w:val="ConsPlusNormal"/>
        <w:spacing w:before="220"/>
        <w:ind w:firstLine="540"/>
        <w:jc w:val="both"/>
      </w:pPr>
      <w:r>
        <w:t xml:space="preserve">7. В </w:t>
      </w:r>
      <w:hyperlink r:id="rId13">
        <w:r>
          <w:rPr>
            <w:color w:val="0000FF"/>
          </w:rPr>
          <w:t>пункте 53</w:t>
        </w:r>
      </w:hyperlink>
      <w:r>
        <w:t xml:space="preserve"> Методических рекомендаций обращено внимание 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8D6D1B" w:rsidRDefault="008D6D1B">
      <w:pPr>
        <w:pStyle w:val="ConsPlusNormal"/>
        <w:spacing w:before="220"/>
        <w:ind w:firstLine="540"/>
        <w:jc w:val="both"/>
      </w:pPr>
      <w:r>
        <w:t xml:space="preserve">8. Актуализирован перечень выплат, которые могут быть признаны доходом для целей </w:t>
      </w:r>
      <w:r>
        <w:lastRenderedPageBreak/>
        <w:t>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8D6D1B" w:rsidRDefault="008D6D1B">
      <w:pPr>
        <w:pStyle w:val="ConsPlusNormal"/>
        <w:spacing w:before="220"/>
        <w:ind w:firstLine="540"/>
        <w:jc w:val="both"/>
      </w:pPr>
      <w:r>
        <w:t>9. Учитывая возникающие на практике вопросы повторно отмечаем, что доход от операций с ценными бумагами выражается в величине суммы финансового результата.</w:t>
      </w:r>
    </w:p>
    <w:p w:rsidR="008D6D1B" w:rsidRDefault="008D6D1B">
      <w:pPr>
        <w:pStyle w:val="ConsPlusNormal"/>
        <w:spacing w:before="220"/>
        <w:ind w:firstLine="540"/>
        <w:jc w:val="both"/>
      </w:pPr>
      <w:r>
        <w:t xml:space="preserve">10. Уточнены положения Методических </w:t>
      </w:r>
      <w:hyperlink r:id="rId14">
        <w:r>
          <w:rPr>
            <w:color w:val="0000FF"/>
          </w:rPr>
          <w:t>рекомендаций</w:t>
        </w:r>
      </w:hyperlink>
      <w:r>
        <w:t>, касающиеся цифровых финансовых инструментов.</w:t>
      </w:r>
    </w:p>
    <w:p w:rsidR="008D6D1B" w:rsidRDefault="008D6D1B">
      <w:pPr>
        <w:pStyle w:val="ConsPlusNormal"/>
        <w:spacing w:before="220"/>
        <w:ind w:firstLine="540"/>
        <w:jc w:val="both"/>
      </w:pPr>
      <w:r>
        <w:t xml:space="preserve">11. В </w:t>
      </w:r>
      <w:hyperlink r:id="rId15">
        <w:r>
          <w:rPr>
            <w:color w:val="0000FF"/>
          </w:rPr>
          <w:t>пункте 181</w:t>
        </w:r>
      </w:hyperlink>
      <w:r>
        <w:t xml:space="preserve"> Методических рекомендаций акцентировано внимание на особенностях владения инвестиционными паями паевых инвестиционных фондов.</w:t>
      </w:r>
    </w:p>
    <w:p w:rsidR="008D6D1B" w:rsidRDefault="008D6D1B">
      <w:pPr>
        <w:pStyle w:val="ConsPlusNormal"/>
        <w:spacing w:before="220"/>
        <w:ind w:firstLine="540"/>
        <w:jc w:val="both"/>
      </w:pPr>
      <w:r>
        <w:t xml:space="preserve">12. Положения Методических </w:t>
      </w:r>
      <w:hyperlink r:id="rId16">
        <w:r>
          <w:rPr>
            <w:color w:val="0000FF"/>
          </w:rPr>
          <w:t>рекомендаций</w:t>
        </w:r>
      </w:hyperlink>
      <w:r>
        <w:t xml:space="preserve"> в целом актуализированы с учетом изменений нормативных правовых актов Российской Федерации.</w:t>
      </w:r>
    </w:p>
    <w:p w:rsidR="008D6D1B" w:rsidRDefault="008D6D1B">
      <w:pPr>
        <w:pStyle w:val="ConsPlusNormal"/>
        <w:jc w:val="both"/>
      </w:pPr>
    </w:p>
    <w:p w:rsidR="008D6D1B" w:rsidRDefault="008D6D1B">
      <w:pPr>
        <w:pStyle w:val="ConsPlusNormal"/>
        <w:jc w:val="both"/>
      </w:pPr>
    </w:p>
    <w:p w:rsidR="008D6D1B" w:rsidRDefault="008D6D1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0346" w:rsidRDefault="004E0346">
      <w:bookmarkStart w:id="0" w:name="_GoBack"/>
      <w:bookmarkEnd w:id="0"/>
    </w:p>
    <w:sectPr w:rsidR="004E0346" w:rsidSect="00911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1B"/>
    <w:rsid w:val="004E0346"/>
    <w:rsid w:val="008D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F1B6E-92D7-4B61-9685-57601F78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D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D6D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D6D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6F9117E27E6AC292EDBB33AB51685CD66AD590B849A0CBE734BE0256A7DCF1A058E2CB1A306DB8AF0262603Fv7i1F" TargetMode="External"/><Relationship Id="rId13" Type="http://schemas.openxmlformats.org/officeDocument/2006/relationships/hyperlink" Target="consultantplus://offline/ref=A76F9117E27E6AC292EDBB33AB51685CD66AD590B849A0CBE734BE0256A7DCF1B258BAC7183471B9AF17343179279C6C41FEA99FE1B2396Dv3i7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6F9117E27E6AC292EDBB33AB51685CD66AD590B849A0CBE734BE0256A7DCF1A058E2CB1A306DB8AF0262603Fv7i1F" TargetMode="External"/><Relationship Id="rId12" Type="http://schemas.openxmlformats.org/officeDocument/2006/relationships/hyperlink" Target="consultantplus://offline/ref=A76F9117E27E6AC292EDBB33AB51685CD66AD590B849A0CBE734BE0256A7DCF1B258BAC7183472BFAA17343179279C6C41FEA99FE1B2396Dv3i7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76F9117E27E6AC292EDBB33AB51685CD66AD590B849A0CBE734BE0256A7DCF1A058E2CB1A306DB8AF0262603Fv7i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76F9117E27E6AC292EDBB33AB51685CD66AD590B849A0CBE734BE0256A7DCF1A058E2CB1A306DB8AF0262603Fv7i1F" TargetMode="External"/><Relationship Id="rId11" Type="http://schemas.openxmlformats.org/officeDocument/2006/relationships/hyperlink" Target="consultantplus://offline/ref=A76F9117E27E6AC292EDBB33AB51685CD66AD590B849A0CBE734BE0256A7DCF1B258BAC7183472BDAC17343179279C6C41FEA99FE1B2396Dv3i7F" TargetMode="External"/><Relationship Id="rId5" Type="http://schemas.openxmlformats.org/officeDocument/2006/relationships/hyperlink" Target="consultantplus://offline/ref=A76F9117E27E6AC292EDBB33AB51685CD66AD590B849A0CBE734BE0256A7DCF1A058E2CB1A306DB8AF0262603Fv7i1F" TargetMode="External"/><Relationship Id="rId15" Type="http://schemas.openxmlformats.org/officeDocument/2006/relationships/hyperlink" Target="consultantplus://offline/ref=A76F9117E27E6AC292EDBB33AB51685CD66AD590B849A0CBE734BE0256A7DCF1B258BAC7183476BEA617343179279C6C41FEA99FE1B2396Dv3i7F" TargetMode="External"/><Relationship Id="rId10" Type="http://schemas.openxmlformats.org/officeDocument/2006/relationships/hyperlink" Target="consultantplus://offline/ref=A76F9117E27E6AC292EDBB33AB51685CD66AD590B849A0CBE734BE0256A7DCF1B258BAC7183473BFAB17343179279C6C41FEA99FE1B2396Dv3i7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76F9117E27E6AC292EDBB33AB51685CD66AD590B849A0CBE734BE0256A7DCF1A058E2CB1A306DB8AF0262603Fv7i1F" TargetMode="External"/><Relationship Id="rId14" Type="http://schemas.openxmlformats.org/officeDocument/2006/relationships/hyperlink" Target="consultantplus://offline/ref=A76F9117E27E6AC292EDBB33AB51685CD66AD590B849A0CBE734BE0256A7DCF1A058E2CB1A306DB8AF0262603Fv7i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4586</Characters>
  <Application>Microsoft Office Word</Application>
  <DocSecurity>0</DocSecurity>
  <Lines>38</Lines>
  <Paragraphs>10</Paragraphs>
  <ScaleCrop>false</ScaleCrop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2023-01-24T05:34:00Z</dcterms:created>
  <dcterms:modified xsi:type="dcterms:W3CDTF">2023-01-24T05:35:00Z</dcterms:modified>
</cp:coreProperties>
</file>