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4CFA2" w14:textId="6DDAF2A4" w:rsidR="00C16BE7" w:rsidRPr="00C16BE7" w:rsidRDefault="00C16BE7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16B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Пояснительная записка к докладу Главы </w:t>
      </w:r>
      <w:proofErr w:type="spellStart"/>
      <w:r w:rsidRPr="00C16B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Боготольского</w:t>
      </w:r>
      <w:proofErr w:type="spellEnd"/>
      <w:r w:rsidRPr="00C16B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района</w:t>
      </w:r>
    </w:p>
    <w:p w14:paraId="5ADE5710" w14:textId="61FACEC3" w:rsidR="00C16BE7" w:rsidRPr="00C16BE7" w:rsidRDefault="00C16BE7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6BE7">
        <w:rPr>
          <w:rFonts w:ascii="Times New Roman" w:eastAsia="Times New Roman" w:hAnsi="Times New Roman" w:cs="Times New Roman"/>
          <w:bCs/>
          <w:sz w:val="24"/>
          <w:szCs w:val="24"/>
        </w:rPr>
        <w:t xml:space="preserve">о достигнутых значениях показателей для оценки эффективности деятельности органов местного самоуправления </w:t>
      </w:r>
      <w:r w:rsidRPr="00C16BE7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городских округов и муниципальных районов </w:t>
      </w:r>
      <w:r w:rsidRPr="00C16BE7">
        <w:rPr>
          <w:rFonts w:ascii="Times New Roman" w:eastAsia="Times New Roman" w:hAnsi="Times New Roman" w:cs="Times New Roman"/>
          <w:bCs/>
          <w:sz w:val="24"/>
          <w:szCs w:val="24"/>
        </w:rPr>
        <w:br/>
        <w:t>за 202</w:t>
      </w:r>
      <w:r w:rsidR="004918DF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C16BE7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 и их планируемых значениях на 3-летний период</w:t>
      </w:r>
    </w:p>
    <w:p w14:paraId="1A9D8CEE" w14:textId="77777777" w:rsidR="00C16BE7" w:rsidRPr="00C16BE7" w:rsidRDefault="00C16BE7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6178A1" w14:textId="1EBED928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I. Экономическое развитие </w:t>
      </w:r>
    </w:p>
    <w:p w14:paraId="60F8F0BD" w14:textId="77777777" w:rsidR="00C16BE7" w:rsidRDefault="00C16BE7" w:rsidP="00C16BE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87976F" w14:textId="5FBFED21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 расположен в западной части Красноярского края, на расстоянии 252 км от краевого центра и граничит на западе с Кемеровской областью, на севере 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Тюхтетским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районом, на востоке 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Большеулуйским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и Ачинским районами, на юге с Назаровским районом.</w:t>
      </w:r>
    </w:p>
    <w:p w14:paraId="2DC95478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Протяженность района с запада на восток 52 км, с севера на юг 85 км. Территория района в административных границах составляет 2 921,58 кв. км. </w:t>
      </w:r>
    </w:p>
    <w:p w14:paraId="1FBA3C96" w14:textId="461A34E2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На территории района на 31.12.2022 года проживало 7833 чел.  </w:t>
      </w:r>
    </w:p>
    <w:p w14:paraId="46B31AC9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Административный центр района – город Боготол. </w:t>
      </w:r>
    </w:p>
    <w:p w14:paraId="6017781F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Всего на территории района восемь сельских поселений с тридцатью восемью населенными пунктами.</w:t>
      </w:r>
    </w:p>
    <w:p w14:paraId="2D35A5F0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Число субъектов малого и среднего предпринимательства, 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14:paraId="6E4C88E5" w14:textId="766BAA06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На конец 2022 года 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зарегистрировано 16 организаций малого и среднего бизнеса (юридических лиц). Среднесписочная численность работников в них составила 119 человек. Снижение численности произошло в связи с прекращением деятельности 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СПК "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Оракский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".                                                                      </w:t>
      </w:r>
    </w:p>
    <w:p w14:paraId="092CB38E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По состоянию на конец 2022 года в районе зарегистрировано 83 индивидуальных предпринимателя, в том числе 11 крестьянских(фермерских) хозяйств.</w:t>
      </w:r>
    </w:p>
    <w:p w14:paraId="12F0F387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Среднесписочная численность работников у индивидуальных предпринимателей составляет 123 человека, в том числе в крестьянских (фермерских) хозяйствах 65 человек.</w:t>
      </w:r>
    </w:p>
    <w:p w14:paraId="40BB4A93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С целью создания благоприятных условий для устойчивого развития малого и среднего предпринимательства в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районе, в 2022г. оказаны следующие виды поддержки:</w:t>
      </w:r>
    </w:p>
    <w:p w14:paraId="6C28BCA5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i/>
          <w:iCs/>
          <w:sz w:val="24"/>
          <w:szCs w:val="24"/>
        </w:rPr>
        <w:t xml:space="preserve">Финансовая, </w:t>
      </w:r>
      <w:r w:rsidRPr="00C16BE7">
        <w:rPr>
          <w:rFonts w:ascii="Times New Roman" w:hAnsi="Times New Roman" w:cs="Times New Roman"/>
          <w:sz w:val="24"/>
          <w:szCs w:val="24"/>
        </w:rPr>
        <w:t xml:space="preserve">нужно отметить, что в 2022 году подходы к оказанию господдержки предпринимательства изменились, дан курс 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граждан. Законом о краевом бюджете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Боготольскому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району распределено 608,3 тыс. руб. на поддержку предпринимателей, принимающих обязательство о сохранении рабочих мест в течение 12 месяцев. </w:t>
      </w:r>
    </w:p>
    <w:p w14:paraId="71D9FE93" w14:textId="1B66A5E9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Объем грантовой поддержки начинающим предпринимателям составил 597,35 тыс. рублей (получателями поддержки стали два ИП);</w:t>
      </w:r>
    </w:p>
    <w:p w14:paraId="53083853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i/>
          <w:iCs/>
          <w:sz w:val="24"/>
          <w:szCs w:val="24"/>
        </w:rPr>
        <w:t xml:space="preserve">имущественная, </w:t>
      </w:r>
      <w:r w:rsidRPr="00C16BE7">
        <w:rPr>
          <w:rFonts w:ascii="Times New Roman" w:hAnsi="Times New Roman" w:cs="Times New Roman"/>
          <w:sz w:val="24"/>
          <w:szCs w:val="24"/>
        </w:rPr>
        <w:t xml:space="preserve">с целью поддержки малого бизнеса сформирован перечень муниципального имущества, предназначенного для возможного использования малым бизнесом из 20 объектов общей площадью 7680,2 кв. метров; </w:t>
      </w:r>
    </w:p>
    <w:p w14:paraId="7D65A9C8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i/>
          <w:iCs/>
          <w:sz w:val="24"/>
          <w:szCs w:val="24"/>
        </w:rPr>
        <w:t xml:space="preserve">информационная поддержка, </w:t>
      </w:r>
      <w:r w:rsidRPr="00C16BE7">
        <w:rPr>
          <w:rFonts w:ascii="Times New Roman" w:hAnsi="Times New Roman" w:cs="Times New Roman"/>
          <w:sz w:val="24"/>
          <w:szCs w:val="24"/>
        </w:rPr>
        <w:t>с</w:t>
      </w:r>
      <w:r w:rsidRPr="00C16BE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 xml:space="preserve">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функционирует интернет-ресурс на официальном сайте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района, также публикации размещаются в социальных сетях.</w:t>
      </w:r>
    </w:p>
    <w:p w14:paraId="402F517F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Проведены обучающие мероприятия для субъектов предпринимательской деятельности и физических лиц, планирующих заняться предпринимательской деятельностью- проведено 4 </w:t>
      </w:r>
      <w:r w:rsidRPr="00C16BE7">
        <w:rPr>
          <w:rFonts w:ascii="Times New Roman" w:hAnsi="Times New Roman" w:cs="Times New Roman"/>
          <w:sz w:val="24"/>
          <w:szCs w:val="24"/>
        </w:rPr>
        <w:lastRenderedPageBreak/>
        <w:t>мероприятия (семинар, рабочая встреча с представителями Агентства развития малого и среднего предпринимательства Красноярского края, бизнес-тренинги в оффлайн-формате).</w:t>
      </w:r>
    </w:p>
    <w:p w14:paraId="72564814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i/>
          <w:iCs/>
          <w:sz w:val="24"/>
          <w:szCs w:val="24"/>
        </w:rPr>
        <w:t>консультационная поддержка,</w:t>
      </w:r>
      <w:r w:rsidRPr="00C16BE7">
        <w:rPr>
          <w:rFonts w:ascii="Times New Roman" w:hAnsi="Times New Roman" w:cs="Times New Roman"/>
          <w:sz w:val="24"/>
          <w:szCs w:val="24"/>
        </w:rPr>
        <w:t xml:space="preserve"> оказано 61 консультационная услуга по вопросам ведения предпринимательской деятельности, составлении бизнес-планов, оказания финансовой поддержки и решения других вопросов.</w:t>
      </w:r>
    </w:p>
    <w:p w14:paraId="73182A63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С мая 2022 года осуществляет свою деятельность представительство Центра «Мой бизнес» в администрации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района. Консультационная поддержка трансформировалась в комплексную поддержку малого и среднего бизнеса. </w:t>
      </w:r>
    </w:p>
    <w:p w14:paraId="011F1360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Число субъектов малого и среднего предпринимательства на 10000 человек населения района на конец 2022 года увеличилось по сравнению с 2021 годом и составило 126,39 единиц. Увеличение данного показателя произошло по причине снижения численности населения, согласно данным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Всеросийской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переписи населения в 2021 году. К 2025 году значение этого показателя планируется в размере 141,2 единиц.</w:t>
      </w:r>
    </w:p>
    <w:p w14:paraId="203703A6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В 2022 году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составила 23,21%, к 2025 году этот показатель планируется увеличить до 23,63%.</w:t>
      </w:r>
    </w:p>
    <w:p w14:paraId="7993AC80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0"/>
        <w:gridCol w:w="895"/>
        <w:gridCol w:w="895"/>
        <w:gridCol w:w="931"/>
        <w:gridCol w:w="1027"/>
        <w:gridCol w:w="1027"/>
      </w:tblGrid>
      <w:tr w:rsidR="00F84614" w:rsidRPr="00C16BE7" w14:paraId="216BD432" w14:textId="77777777">
        <w:trPr>
          <w:trHeight w:val="288"/>
        </w:trPr>
        <w:tc>
          <w:tcPr>
            <w:tcW w:w="4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4D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00BA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F84614" w:rsidRPr="00C16BE7" w14:paraId="31CFF1E3" w14:textId="77777777">
        <w:trPr>
          <w:trHeight w:val="552"/>
        </w:trPr>
        <w:tc>
          <w:tcPr>
            <w:tcW w:w="45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436D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8E7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DA8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2022 факт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0D3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2023 оценка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C15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2024 прогноз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88E8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2025 прогноз</w:t>
            </w:r>
          </w:p>
        </w:tc>
      </w:tr>
      <w:tr w:rsidR="00F84614" w:rsidRPr="00C16BE7" w14:paraId="662800BB" w14:textId="77777777">
        <w:trPr>
          <w:trHeight w:val="288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11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1. Количество малых и микропредприятий, 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4E4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9D6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9D2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D86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9DAB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84614" w:rsidRPr="00C16BE7" w14:paraId="0DA948DD" w14:textId="77777777">
        <w:trPr>
          <w:trHeight w:val="288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01D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2. Количество средних предприятий, 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165C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A19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D6B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723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571B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4614" w:rsidRPr="00C16BE7" w14:paraId="0D1DDE25" w14:textId="77777777">
        <w:trPr>
          <w:trHeight w:val="288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FAA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3. Количество индивидуальных предпринимателей, 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FDF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4A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36D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C45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F856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84614" w:rsidRPr="00C16BE7" w14:paraId="6386EF4E" w14:textId="77777777">
        <w:trPr>
          <w:trHeight w:val="288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F28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3.1. в том числе количество крестьянско-фермерских хозяйств, ед.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058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07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11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DCB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D078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4614" w:rsidRPr="00C16BE7" w14:paraId="6D807553" w14:textId="77777777">
        <w:trPr>
          <w:trHeight w:val="552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69B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4. Численность постоянного населения муниципального, городского округа (муниципального района)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отчетного года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636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8 893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01F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7 833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75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7 626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A2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7 423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8C8E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7 224</w:t>
            </w:r>
          </w:p>
        </w:tc>
      </w:tr>
      <w:tr w:rsidR="00F84614" w:rsidRPr="00C16BE7" w14:paraId="30CDE3E0" w14:textId="77777777">
        <w:trPr>
          <w:trHeight w:val="552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D37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155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112,45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320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126,39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95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132,44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B4A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137,41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CB42C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141,20</w:t>
            </w:r>
          </w:p>
        </w:tc>
      </w:tr>
      <w:tr w:rsidR="00F84614" w:rsidRPr="00C16BE7" w14:paraId="6E87E4D4" w14:textId="77777777">
        <w:trPr>
          <w:trHeight w:val="552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CD7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6. Среднесписочная численность работников малых и микропредприятий, чел.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ED7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315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68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56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5860D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84614" w:rsidRPr="00C16BE7" w14:paraId="191098FE" w14:textId="77777777">
        <w:trPr>
          <w:trHeight w:val="552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993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CB1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11C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437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A78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6156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F84614" w:rsidRPr="00C16BE7" w14:paraId="359D4542" w14:textId="77777777">
        <w:trPr>
          <w:trHeight w:val="288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0A1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7.1. в том числе в крестьянско-фермерских хозяйствах, чел.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DB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F7B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FD1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C60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9D0D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F84614" w:rsidRPr="00C16BE7" w14:paraId="19D0F8B5" w14:textId="77777777">
        <w:trPr>
          <w:trHeight w:val="288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28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B32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EA8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37D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65D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751F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614" w:rsidRPr="00C16BE7" w14:paraId="503F69E6" w14:textId="77777777">
        <w:trPr>
          <w:trHeight w:val="912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E82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2D6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1 047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D7A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1 075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1EF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1 070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44D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1 063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0AA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</w:p>
        </w:tc>
      </w:tr>
      <w:tr w:rsidR="00F84614" w:rsidRPr="00C16BE7" w14:paraId="5A30530C" w14:textId="77777777">
        <w:trPr>
          <w:trHeight w:val="1380"/>
        </w:trPr>
        <w:tc>
          <w:tcPr>
            <w:tcW w:w="4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8B3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E6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22,33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10C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BF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23,41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7AB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4648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23,63</w:t>
            </w:r>
          </w:p>
        </w:tc>
      </w:tr>
    </w:tbl>
    <w:p w14:paraId="0AEED751" w14:textId="77777777" w:rsidR="00F84614" w:rsidRPr="00C16BE7" w:rsidRDefault="00F846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8AED3A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Объем инвестиций в основной капитал (за исключением бюджетных средств) в расчете на 1 человека</w:t>
      </w:r>
    </w:p>
    <w:p w14:paraId="599540F8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Объем инвестиций в основной капитал за счет всех источников финансирования в 2022 году составил 107870 тыс. руб., что на 55,3% ниже 2021 года. Снижение связано с уменьшением инвестиций, приходящихся на отрасль «Транспорт и связь», так как АО «Транснефть — Западная Сибирь» в 2021 году завершило техническое перевооружение оборудования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нефтенасосной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перекачивающей станции Каштан 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14:paraId="4DEA407C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Объем инвестиций за счет бюджетных средств увеличился по сравнению с 2021г. более, чем в 2 раза, и составил в 2022 году 60545 тыс. руб. </w:t>
      </w:r>
    </w:p>
    <w:p w14:paraId="2EB8BF72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Значительное увеличение произошло по ВЭД: «Д</w:t>
      </w:r>
      <w:r w:rsidRPr="00C16BE7">
        <w:rPr>
          <w:rFonts w:ascii="Times New Roman" w:hAnsi="Times New Roman" w:cs="Times New Roman"/>
          <w:color w:val="000000"/>
          <w:sz w:val="24"/>
          <w:szCs w:val="24"/>
        </w:rPr>
        <w:t>еятельность в области культуры, спорта, организации досуга и развлечений» (</w:t>
      </w:r>
      <w:r w:rsidRPr="00C16BE7">
        <w:rPr>
          <w:rFonts w:ascii="Times New Roman" w:hAnsi="Times New Roman" w:cs="Times New Roman"/>
          <w:sz w:val="24"/>
          <w:szCs w:val="24"/>
        </w:rPr>
        <w:t xml:space="preserve">2022 год был очень активным в проектной деятельности, было подано 17 заявок на сумму 18,5 млн., также реализовывались переходящие проекты с 2021 года; кроме того проведены капитальные ремонты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Вагинского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СДК, Краснореченского СК, МБУ ДО ДМШ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района);</w:t>
      </w:r>
    </w:p>
    <w:p w14:paraId="00954F8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color w:val="000000"/>
          <w:sz w:val="24"/>
          <w:szCs w:val="24"/>
        </w:rPr>
        <w:t>и «Жилищно- коммунальное хозяйство» (произведен ремонт объектов ЖКХ и объектов водоснабжения; в МКП «Услуга» приобретены вакуумная машина для проведения аварийно- восстановительных работ и прицеп-цистерна для подвоза воды населению).</w:t>
      </w:r>
    </w:p>
    <w:p w14:paraId="7B19DDF0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 xml:space="preserve">По прогнозу </w:t>
      </w:r>
      <w:r w:rsidRPr="00C16BE7">
        <w:rPr>
          <w:rFonts w:ascii="Times New Roman" w:hAnsi="Times New Roman" w:cs="Times New Roman"/>
          <w:sz w:val="24"/>
          <w:szCs w:val="24"/>
        </w:rPr>
        <w:t>объем инвестиций за счет всех источников финансирования составит в 2023 году 115790 тыс. руб., в 2024 году 122205 тыс. руб., в  2025 году 128740 тыс. руб.</w:t>
      </w:r>
    </w:p>
    <w:p w14:paraId="2A643AD9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Объем инвестиций в основной капитал (за исключением бюджетных средств) в расчете на 1 человека населения в 2022 году составил 5964,83 руб. Ожидаемое значение к 2025 году 12177,77 руб.</w:t>
      </w:r>
    </w:p>
    <w:p w14:paraId="6232632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В 2022г. инвестиционные проекты, реализуемые на территории района, отсутствовали.</w:t>
      </w:r>
    </w:p>
    <w:tbl>
      <w:tblPr>
        <w:tblW w:w="0" w:type="auto"/>
        <w:tblInd w:w="209" w:type="dxa"/>
        <w:tblLayout w:type="fixed"/>
        <w:tblLook w:val="0000" w:firstRow="0" w:lastRow="0" w:firstColumn="0" w:lastColumn="0" w:noHBand="0" w:noVBand="0"/>
      </w:tblPr>
      <w:tblGrid>
        <w:gridCol w:w="2280"/>
        <w:gridCol w:w="1418"/>
        <w:gridCol w:w="1417"/>
        <w:gridCol w:w="1418"/>
        <w:gridCol w:w="1417"/>
        <w:gridCol w:w="1418"/>
      </w:tblGrid>
      <w:tr w:rsidR="00F84614" w:rsidRPr="00C16BE7" w14:paraId="454B6A76" w14:textId="77777777">
        <w:trPr>
          <w:trHeight w:val="28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F6F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F8B9B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F84614" w:rsidRPr="00C16BE7" w14:paraId="5B8DDF04" w14:textId="77777777">
        <w:trPr>
          <w:trHeight w:val="5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10B3" w14:textId="77777777" w:rsidR="00F84614" w:rsidRPr="00C16BE7" w:rsidRDefault="00F846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8915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0AD64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8A91A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оценка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00C4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537F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прогноз</w:t>
            </w:r>
          </w:p>
        </w:tc>
      </w:tr>
      <w:tr w:rsidR="00F84614" w:rsidRPr="00C16BE7" w14:paraId="7E455C6F" w14:textId="77777777">
        <w:trPr>
          <w:trHeight w:val="8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78EA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 Объем инвестиций в основной капитал за счет всех источников </w:t>
            </w: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финансирования (без субъектов малого предпринимательства),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8864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241 291,00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54701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107 870,00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1FA1C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115 790,00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CAAF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122 205,00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4C21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128 740,00</w:t>
            </w:r>
          </w:p>
        </w:tc>
      </w:tr>
      <w:tr w:rsidR="00F84614" w:rsidRPr="00C16BE7" w14:paraId="7E29F74B" w14:textId="77777777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558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1.1. Темп роста в действующих ценах, к соответствующему периоду предыдущего года,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B718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51803AA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515278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D5AAE6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0A0336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105,35</w:t>
            </w:r>
          </w:p>
        </w:tc>
      </w:tr>
      <w:tr w:rsidR="00F84614" w:rsidRPr="00C16BE7" w14:paraId="46DF8D85" w14:textId="77777777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FFCB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1.2. Индекс-дефлятор,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D8D9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8EF53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20B9C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42BF3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6DFAC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105,30</w:t>
            </w:r>
          </w:p>
        </w:tc>
      </w:tr>
      <w:tr w:rsidR="00F84614" w:rsidRPr="00C16BE7" w14:paraId="4F5D9FBE" w14:textId="77777777">
        <w:trPr>
          <w:trHeight w:val="5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FE76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1DC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CE1938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AAA3A15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830F11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1E5FE67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100,05</w:t>
            </w:r>
          </w:p>
        </w:tc>
      </w:tr>
      <w:tr w:rsidR="00F84614" w:rsidRPr="00C16BE7" w14:paraId="5E9430AA" w14:textId="77777777">
        <w:trPr>
          <w:trHeight w:val="5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0C32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EC1A4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27 153,00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847F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2E6C2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B8C99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DA79E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39 550,00</w:t>
            </w:r>
          </w:p>
        </w:tc>
      </w:tr>
      <w:tr w:rsidR="00F84614" w:rsidRPr="00C16BE7" w14:paraId="6F5CC3F4" w14:textId="77777777">
        <w:trPr>
          <w:trHeight w:val="5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C28B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2035811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214 138,00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564A88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47 325,00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A7632C1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80 140,00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85C697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207CB3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89 190,00</w:t>
            </w:r>
          </w:p>
        </w:tc>
      </w:tr>
      <w:tr w:rsidR="00F84614" w:rsidRPr="00C16BE7" w14:paraId="3F22D55F" w14:textId="77777777">
        <w:trPr>
          <w:trHeight w:val="8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5B41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</w:t>
            </w:r>
            <w:r w:rsidRPr="00C16BE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B0F1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BEFB6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7CAA4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5F840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1A70F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7 324</w:t>
            </w:r>
          </w:p>
        </w:tc>
      </w:tr>
      <w:tr w:rsidR="00F84614" w:rsidRPr="00C16BE7" w14:paraId="099989D7" w14:textId="77777777">
        <w:trPr>
          <w:trHeight w:val="11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7F12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F79C0C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23 782,54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2A4F46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5 964,83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30253F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10 367,40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119C42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11 319,60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A45690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12 177,77</w:t>
            </w:r>
          </w:p>
        </w:tc>
      </w:tr>
    </w:tbl>
    <w:p w14:paraId="6249A112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DB51092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FAC3C8A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14:paraId="48D7C150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2022 году было предоставлено 985,5 га земельных участков 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района, из них продано 3,3 га физическим лицам, предоставлено бесплатно физическим лицам 0,4 га, предоставлено многодетным семьям 0,6 га, предоставлено земель сельскохозяйственного назначения 981,2 га.</w:t>
      </w:r>
    </w:p>
    <w:p w14:paraId="181FF6E7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Доля площади земельных участков, являющихся объектами налогообложения, в 2022 году составила </w:t>
      </w:r>
      <w:r w:rsidRPr="00C16BE7">
        <w:rPr>
          <w:rFonts w:ascii="Times New Roman" w:hAnsi="Times New Roman" w:cs="Times New Roman"/>
          <w:color w:val="000000"/>
          <w:sz w:val="24"/>
          <w:szCs w:val="24"/>
        </w:rPr>
        <w:t>28,8</w:t>
      </w:r>
      <w:r w:rsidRPr="00C16BE7">
        <w:rPr>
          <w:rFonts w:ascii="Times New Roman" w:hAnsi="Times New Roman" w:cs="Times New Roman"/>
          <w:sz w:val="24"/>
          <w:szCs w:val="24"/>
        </w:rPr>
        <w:t xml:space="preserve">% в общей площади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1D4FB16B" w14:textId="6337929A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ab/>
        <w:t>К 2025 году значительного увеличение данного показателя не прогнозируется, доля площади земельных участков, являющихся объектами налогообложения, составит 28,8 %.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1871"/>
        <w:gridCol w:w="426"/>
        <w:gridCol w:w="1275"/>
        <w:gridCol w:w="1276"/>
        <w:gridCol w:w="1134"/>
        <w:gridCol w:w="1276"/>
        <w:gridCol w:w="1417"/>
      </w:tblGrid>
      <w:tr w:rsidR="00F84614" w:rsidRPr="00C16BE7" w14:paraId="287081D4" w14:textId="77777777" w:rsidTr="001F6580">
        <w:trPr>
          <w:trHeight w:val="28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23E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F3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060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DA1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FF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7D4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F89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0E877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F84614" w:rsidRPr="00C16BE7" w14:paraId="48C2B9CD" w14:textId="77777777" w:rsidTr="001F6580">
        <w:trPr>
          <w:trHeight w:val="28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D6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F8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A9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330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E4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FFB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7F0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FFE1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 </w:t>
            </w:r>
          </w:p>
        </w:tc>
      </w:tr>
      <w:tr w:rsidR="00F84614" w:rsidRPr="00C16BE7" w14:paraId="76C73847" w14:textId="77777777" w:rsidTr="001F6580">
        <w:trPr>
          <w:trHeight w:val="576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CF5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BE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5D1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05B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A56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814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27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4FCE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</w:tr>
      <w:tr w:rsidR="00F84614" w:rsidRPr="00C16BE7" w14:paraId="004AF098" w14:textId="77777777" w:rsidTr="001F6580">
        <w:trPr>
          <w:trHeight w:val="1152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07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FA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ind w:firstLine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участков, являющаяся объектом налогообложения земельным налогом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C6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95A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83146,5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6D3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9D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205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7D1D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84147</w:t>
            </w:r>
          </w:p>
        </w:tc>
      </w:tr>
      <w:tr w:rsidR="00F84614" w:rsidRPr="00C16BE7" w14:paraId="35955B7B" w14:textId="77777777" w:rsidTr="001F6580">
        <w:trPr>
          <w:trHeight w:val="160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9A8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05C4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2A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DC7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B5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66F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B94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5226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28,8</w:t>
            </w:r>
          </w:p>
        </w:tc>
      </w:tr>
    </w:tbl>
    <w:p w14:paraId="3DE33F8C" w14:textId="77777777" w:rsidR="00F84614" w:rsidRPr="00C16BE7" w:rsidRDefault="00F846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09AABC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7E7D612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Доля прибыльных сельскохозяйственных организаций в общем их числе</w:t>
      </w:r>
    </w:p>
    <w:p w14:paraId="19D87705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осуществляют деятельность 3 сельскохозяйственных предприятиях (ООО "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птицефабрика", ООО «Агрохолдинг «Боготол» и ООО "Зеленый мир"), зарегистрированные в реестре субъектов агропромышленного комплекса.</w:t>
      </w:r>
    </w:p>
    <w:p w14:paraId="205AC213" w14:textId="6C66E4E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По итогам 2022 года прибыль ООО "Зеленый мир" составила 29 953 тыс. руб. (</w:t>
      </w:r>
      <w:r w:rsidR="001F6580">
        <w:rPr>
          <w:rFonts w:ascii="Times New Roman" w:hAnsi="Times New Roman" w:cs="Times New Roman"/>
          <w:sz w:val="24"/>
          <w:szCs w:val="24"/>
        </w:rPr>
        <w:t>на</w:t>
      </w:r>
      <w:r w:rsidRPr="00C16BE7">
        <w:rPr>
          <w:rFonts w:ascii="Times New Roman" w:hAnsi="Times New Roman" w:cs="Times New Roman"/>
          <w:sz w:val="24"/>
          <w:szCs w:val="24"/>
        </w:rPr>
        <w:t xml:space="preserve"> 6 517 тыс. рублей </w:t>
      </w:r>
      <w:r w:rsidR="001F6580">
        <w:rPr>
          <w:rFonts w:ascii="Times New Roman" w:hAnsi="Times New Roman" w:cs="Times New Roman"/>
          <w:sz w:val="24"/>
          <w:szCs w:val="24"/>
        </w:rPr>
        <w:t>больше</w:t>
      </w:r>
      <w:r w:rsidRPr="00C16BE7">
        <w:rPr>
          <w:rFonts w:ascii="Times New Roman" w:hAnsi="Times New Roman" w:cs="Times New Roman"/>
          <w:sz w:val="24"/>
          <w:szCs w:val="24"/>
        </w:rPr>
        <w:t xml:space="preserve"> 2021 год</w:t>
      </w:r>
      <w:r w:rsidR="001F6580">
        <w:rPr>
          <w:rFonts w:ascii="Times New Roman" w:hAnsi="Times New Roman" w:cs="Times New Roman"/>
          <w:sz w:val="24"/>
          <w:szCs w:val="24"/>
        </w:rPr>
        <w:t>а</w:t>
      </w:r>
      <w:r w:rsidRPr="00C16BE7">
        <w:rPr>
          <w:rFonts w:ascii="Times New Roman" w:hAnsi="Times New Roman" w:cs="Times New Roman"/>
          <w:sz w:val="24"/>
          <w:szCs w:val="24"/>
        </w:rPr>
        <w:t>), убыток ООО "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птицефабрика" составил 19 138 тыс. руб. (увеличился по сравнению с прошлым годом на 2 866 тыс. руб.), ООО «Агрохолдинг «Боготол» прибыль 360 тыс. руб. (в 2021 году предприятия еще не стояло в реестре АПК).</w:t>
      </w:r>
    </w:p>
    <w:p w14:paraId="54D422C6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lastRenderedPageBreak/>
        <w:tab/>
        <w:t>В 2022 году на предприятии ООО "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птицефабрика" было принято решение о ликвидации поголовья кур несушек. Рацион кормления кур несушек составляло только зерно собственного производство, соответственно низка продуктивность яйца и высокая себестоимость яйца, что повлияло на финансовый результат. Мясо кур в 2022 году не производилось. Вся птица продана живьем. Так же на увеличение себестоимости повлиял большой падеж птицы.</w:t>
      </w:r>
    </w:p>
    <w:p w14:paraId="6946F7E5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В 2022 году доля прибыльных сельскохозяйственных организаций в районе составила 66,67 %.</w:t>
      </w:r>
    </w:p>
    <w:p w14:paraId="62A0F098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В прогнозных периодах 2023-2025гг. все сельскохозяйственные организации района планируют получить прибыль по результатам своей деятельности.</w:t>
      </w:r>
    </w:p>
    <w:p w14:paraId="0DD3F243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</w:p>
    <w:p w14:paraId="3505D4CE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Протяжённость автомобильных дорог общего пользования всех форм собственности в районе 470,1 км, из них протяженность автомобильных дорог общего пользования всех форм собственности с твердым покрытием 470,1 км: федерального значения 69,0 км, регионального значения 236,7 км, местного значения 147,2 км.</w:t>
      </w:r>
    </w:p>
    <w:p w14:paraId="3BC1C238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В 2023 году и прогнозируемом периоде с 2024-2025 годов протяженность автомобильных дорог общего пользования местного значения ожидается на уровне 2022 года.</w:t>
      </w:r>
    </w:p>
    <w:p w14:paraId="1344C0F4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По состоянию на 01.01.2023 года протяжённость транзитных участков в границах населённых пунктов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района, обслуживаемых КГКУ «КРУДОР» составляет 18,52 км.</w:t>
      </w:r>
    </w:p>
    <w:p w14:paraId="4FAB059D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Протяженность автомобильных дорог общего пользования местного значения, не отвечающего требованиям, на конец 2022 года составляет 83,3 км.</w:t>
      </w:r>
    </w:p>
    <w:p w14:paraId="6F0341FB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2022 году был выполнен ремонт дорог в следующих населенных пунктах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района: пос. Чайковский 0,34 км; с.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Критово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0,78 км; с. Красный Завод 1,32 км. и 0,18 км.</w:t>
      </w:r>
    </w:p>
    <w:p w14:paraId="6B07343D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2023 году планируется ремонт дороги в с. Александровка. </w:t>
      </w:r>
    </w:p>
    <w:p w14:paraId="0E6C0452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прогнозируемом периоде до 2025 года планируется проведение ремонта дорог в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асфальтно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- бетонном и щебеночном исполнении не менее 1,5 км ежегодно.</w:t>
      </w:r>
    </w:p>
    <w:p w14:paraId="6D636FE6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</w:p>
    <w:p w14:paraId="21822F82" w14:textId="42686994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составляет 0%. </w:t>
      </w:r>
    </w:p>
    <w:p w14:paraId="3BC8F5A4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Среднемесячная номинальная начисленная заработная плата работников:</w:t>
      </w:r>
    </w:p>
    <w:p w14:paraId="01BF1A73" w14:textId="77777777" w:rsid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8.1. крупных и средних предприятий и некоммерческих организаций;</w:t>
      </w:r>
    </w:p>
    <w:p w14:paraId="009770B0" w14:textId="3D2CFBA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Среднемесячная номинальная заработная плата крупных и средних предприятий и некоммерческих организаций выросла по сравнению с 2021 годом на 18,2 % и составила в 2022 году 46057,8 руб. </w:t>
      </w:r>
    </w:p>
    <w:p w14:paraId="4CCABC85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Рост среднемесячной начисленной номинальной заработной платы работников крупных и средних предприятий и некоммерческих организаций обусловлен</w:t>
      </w:r>
      <w:r w:rsidRPr="00C16BE7">
        <w:rPr>
          <w:rFonts w:ascii="Times New Roman" w:hAnsi="Times New Roman" w:cs="Times New Roman"/>
          <w:sz w:val="24"/>
          <w:szCs w:val="24"/>
          <w:highlight w:val="white"/>
        </w:rPr>
        <w:t xml:space="preserve"> повышением минимального размера оплаты труда; </w:t>
      </w:r>
      <w:r w:rsidRPr="00C16BE7">
        <w:rPr>
          <w:rFonts w:ascii="Times New Roman" w:hAnsi="Times New Roman" w:cs="Times New Roman"/>
          <w:sz w:val="24"/>
          <w:szCs w:val="24"/>
        </w:rPr>
        <w:t xml:space="preserve">проведением индексации оплаты труда работников крупных и средних предприятий в соответствии с уровнем инфляции; повышением заработной платы работников бюджетной сферы в соответствии с Указами Президента Российской Федерации. </w:t>
      </w:r>
    </w:p>
    <w:p w14:paraId="18AF1715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ab/>
        <w:t xml:space="preserve">На территории района наиболее высокий размер заработной платы у работников в сфере </w:t>
      </w:r>
      <w:r w:rsidRPr="00C16BE7">
        <w:rPr>
          <w:rFonts w:ascii="Times New Roman" w:hAnsi="Times New Roman" w:cs="Times New Roman"/>
          <w:sz w:val="24"/>
          <w:szCs w:val="24"/>
        </w:rPr>
        <w:t>деятельности «Транспортировка и хранение»- Транспортирование по трубопроводам нефти (НПС «Каштан») 111611,8 руб., что существенно влияет на размер средней заработной платы по району.</w:t>
      </w:r>
    </w:p>
    <w:p w14:paraId="10153AA0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В 2023-2025гг.  ожидаемое увеличение </w:t>
      </w:r>
      <w:r w:rsidRPr="00C16BE7">
        <w:rPr>
          <w:rFonts w:ascii="Times New Roman" w:hAnsi="Times New Roman" w:cs="Times New Roman"/>
          <w:sz w:val="24"/>
          <w:szCs w:val="24"/>
          <w:highlight w:val="white"/>
        </w:rPr>
        <w:t xml:space="preserve">оплаты труда работников </w:t>
      </w:r>
      <w:r w:rsidRPr="00C16BE7">
        <w:rPr>
          <w:rFonts w:ascii="Times New Roman" w:hAnsi="Times New Roman" w:cs="Times New Roman"/>
          <w:sz w:val="24"/>
          <w:szCs w:val="24"/>
        </w:rPr>
        <w:t>крупных и средних предприятий и некоммерческих организаций</w:t>
      </w:r>
      <w:r w:rsidRPr="00C16BE7">
        <w:rPr>
          <w:rFonts w:ascii="Times New Roman" w:hAnsi="Times New Roman" w:cs="Times New Roman"/>
          <w:sz w:val="24"/>
          <w:szCs w:val="24"/>
          <w:highlight w:val="white"/>
        </w:rPr>
        <w:t xml:space="preserve"> составит 9%, 7,7%, 7% соответственно.</w:t>
      </w:r>
    </w:p>
    <w:p w14:paraId="1976D63B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 К 2025 году размер заработной платы крупных и средних предприятий и некоммерческих организаций составит 57853,4 руб. </w:t>
      </w:r>
    </w:p>
    <w:p w14:paraId="437117FC" w14:textId="77777777" w:rsid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8.2. муниципальных дошкольных образовательных учреждений;</w:t>
      </w:r>
    </w:p>
    <w:p w14:paraId="1CE1DD23" w14:textId="1B666D05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 xml:space="preserve">Среднемесячная номинальная заработная плата работников муниципальных дошкольных учреждений в 2022году составила 28973,1 руб., что на 18,1% выше 2021 </w:t>
      </w:r>
      <w:proofErr w:type="spellStart"/>
      <w:proofErr w:type="gramStart"/>
      <w:r w:rsidRPr="00C16BE7">
        <w:rPr>
          <w:rFonts w:ascii="Times New Roman" w:hAnsi="Times New Roman" w:cs="Times New Roman"/>
          <w:color w:val="000000"/>
          <w:sz w:val="24"/>
          <w:szCs w:val="24"/>
        </w:rPr>
        <w:t>года.К</w:t>
      </w:r>
      <w:proofErr w:type="spellEnd"/>
      <w:proofErr w:type="gramEnd"/>
      <w:r w:rsidRPr="00C16BE7">
        <w:rPr>
          <w:rFonts w:ascii="Times New Roman" w:hAnsi="Times New Roman" w:cs="Times New Roman"/>
          <w:color w:val="000000"/>
          <w:sz w:val="24"/>
          <w:szCs w:val="24"/>
        </w:rPr>
        <w:t xml:space="preserve"> 2025 году этот показатель увеличится до 38574,2 руб.</w:t>
      </w:r>
    </w:p>
    <w:p w14:paraId="205B4A9A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8.3. муниципальных общеобразовательных учреждений;</w:t>
      </w:r>
    </w:p>
    <w:p w14:paraId="4CB88617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>Среднемесячная номинальная заработная плата в муниципальных общеобразовательных учреждениях в 2022 году увеличилась на   20 % и составила 28973,1 45106,5руб. Среднемесячная зарплата учителей 56561,1 руб</w:t>
      </w:r>
      <w:r w:rsidRPr="00C16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B108A5" w14:textId="18FA9201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По прогнозу к 2025 году </w:t>
      </w:r>
      <w:r w:rsidRPr="00C16BE7">
        <w:rPr>
          <w:rFonts w:ascii="Times New Roman" w:hAnsi="Times New Roman" w:cs="Times New Roman"/>
          <w:color w:val="000000"/>
          <w:sz w:val="24"/>
          <w:szCs w:val="24"/>
        </w:rPr>
        <w:t xml:space="preserve">среднемесячная номинальная заработная плата в муниципальных общеобразовательных учреждениях </w:t>
      </w:r>
      <w:r w:rsidRPr="00C16BE7">
        <w:rPr>
          <w:rFonts w:ascii="Times New Roman" w:hAnsi="Times New Roman" w:cs="Times New Roman"/>
          <w:sz w:val="24"/>
          <w:szCs w:val="24"/>
        </w:rPr>
        <w:t>составит 50829,6 руб., учителей 61821,9 руб.</w:t>
      </w:r>
    </w:p>
    <w:p w14:paraId="14A568FA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8.4. муниципальных учреждений культуры и искусства;</w:t>
      </w:r>
    </w:p>
    <w:p w14:paraId="5B539259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ab/>
        <w:t>В 2022 году среднемесячная номинальная заработная плата муниципальных учреждений культуры и искусства увеличилась на 18,6 % и составила 39813 руб.</w:t>
      </w:r>
    </w:p>
    <w:p w14:paraId="3022439D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ab/>
        <w:t>К 2025 году размер заработной платы по данной отрасли составит 42115,1 руб.</w:t>
      </w:r>
    </w:p>
    <w:p w14:paraId="261E3803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8.5. муниципальных учреждений физической культуры и спорта</w:t>
      </w:r>
    </w:p>
    <w:p w14:paraId="6806CDB1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ab/>
        <w:t>Среднемесячная номинальная заработная плата работников муниципальных учреждений физической культуры и спорта увеличилась по сравнению с 2021 годом на 24 % и составила в 2022 году 25800 руб.</w:t>
      </w:r>
    </w:p>
    <w:p w14:paraId="680DDDEF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ab/>
        <w:t>К 2025 году этот показатель составит 28404,68 руб.</w:t>
      </w:r>
    </w:p>
    <w:p w14:paraId="097A1725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BD6A65B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Дошкольное образование</w:t>
      </w:r>
    </w:p>
    <w:p w14:paraId="64B8C893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FF38F3D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системе дошкольного образования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в 2022 году в ходе реорганизации 4 детских сада из 8 были присоединены к школам. </w:t>
      </w:r>
    </w:p>
    <w:p w14:paraId="5DCAD6D9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На конец 2022 года функционируют 4 детских сада, в 5-и школах открыты дошкольные группы: в МКОУ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СОШ, МКОУ Владимировская СОШ, МКОУ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Краснозаводская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СОШ, МКОУ Чайковская СОШ, МБОУ Юрьевская СОШ.</w:t>
      </w:r>
    </w:p>
    <w:p w14:paraId="49A12BCE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2022 году детские сады и дошкольные группы при СОШ посещали 214 детей, из них 191 ребенка в возрасте 3-7 лет (41,7 % от общего числа детей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в возрасте от 3 года до 7 лет). За 2022 год направление в ДОУ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получили 73 ребенка. </w:t>
      </w:r>
    </w:p>
    <w:p w14:paraId="55CFDBA8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</w:t>
      </w:r>
    </w:p>
    <w:p w14:paraId="34F48FF6" w14:textId="71FE2F72" w:rsidR="00F84614" w:rsidRPr="00C16BE7" w:rsidRDefault="00C16BE7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1914" w:rsidRPr="00C16BE7">
        <w:rPr>
          <w:rFonts w:ascii="Times New Roman" w:hAnsi="Times New Roman" w:cs="Times New Roman"/>
          <w:sz w:val="24"/>
          <w:szCs w:val="24"/>
        </w:rPr>
        <w:t>оля детей в возрасте 1-6 лет, получающих в 2022 году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составила 43,15% . К 2025 году этот показатель вырастет до 52,1%.</w:t>
      </w:r>
    </w:p>
    <w:p w14:paraId="3552B180" w14:textId="77777777" w:rsid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Доля детей в возрасте 1-6 лет</w:t>
      </w:r>
      <w:proofErr w:type="gramStart"/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стоящие на учете для определения в муниципальные дошкольные образовательные учреждения, в общей численности детей в возрасте 1-6 лет</w:t>
      </w:r>
    </w:p>
    <w:p w14:paraId="409B6674" w14:textId="19B7A571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2022 году доля детей в возрасте 1-6 лет, желающих поступить в муниципальные </w:t>
      </w:r>
      <w:r w:rsidRPr="00C16BE7">
        <w:rPr>
          <w:rFonts w:ascii="Times New Roman" w:hAnsi="Times New Roman" w:cs="Times New Roman"/>
          <w:sz w:val="24"/>
          <w:szCs w:val="24"/>
        </w:rPr>
        <w:lastRenderedPageBreak/>
        <w:t>дошкольные образовательные учреждения составляет 0%. На прогнозный период 2023-2025гг. ожидается отсутствие актуальной очереди детей от 1 до 6 лет, желающих поступить в муниципальные дошкольные образовательные учреждения.</w:t>
      </w:r>
    </w:p>
    <w:p w14:paraId="069D2AC2" w14:textId="40703FFC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14:paraId="3EE10354" w14:textId="2D538123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Муниципальные дошкольные образовательные учреждения, здания которых находятся в аварийном состоянии или требуют капитального ремонта, на территории района отсутствуют.</w:t>
      </w:r>
    </w:p>
    <w:p w14:paraId="594985DB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4A10250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Общее и дополнительное образование</w:t>
      </w:r>
    </w:p>
    <w:p w14:paraId="5FE2BC82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66B466" w14:textId="77777777" w:rsidR="00F84614" w:rsidRPr="00C16BE7" w:rsidRDefault="00421914" w:rsidP="001F6580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Сеть муниципальных образовательных учреждений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в области среднего общего образования представлена 10-ю средними общеобразовательными учреждениями, в 2022 году МКОУ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Вагинская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НШДС была ликвидирована.</w:t>
      </w:r>
    </w:p>
    <w:p w14:paraId="3723797B" w14:textId="77777777" w:rsidR="00F84614" w:rsidRPr="00C16BE7" w:rsidRDefault="00421914" w:rsidP="001F6580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По состоянию на 20.09.2022 г. количество обучающихся составляло 1004 человека.</w:t>
      </w:r>
    </w:p>
    <w:p w14:paraId="47A4B1C7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14:paraId="35753AC2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В 2022 году в государственной итоговой аттестации приняли участие 37 обучающихся, аттестаты о среднем общем образовании не получила 1 выпускница 11 класса, т.к. не сдала единый государственный экзамен по математике, что составило 2,7% от общего количества обучающихся.</w:t>
      </w:r>
    </w:p>
    <w:p w14:paraId="2CDC24B5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14:paraId="039B0B6E" w14:textId="3ADFC28D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2022 году 86,25%. Планируется, что к 2025 году доля школ, соответствующих </w:t>
      </w:r>
      <w:proofErr w:type="gramStart"/>
      <w:r w:rsidRPr="00C16BE7">
        <w:rPr>
          <w:rFonts w:ascii="Times New Roman" w:hAnsi="Times New Roman" w:cs="Times New Roman"/>
          <w:sz w:val="24"/>
          <w:szCs w:val="24"/>
        </w:rPr>
        <w:t>современным</w:t>
      </w:r>
      <w:r w:rsidR="001F6580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требованиям</w:t>
      </w:r>
      <w:proofErr w:type="gramEnd"/>
      <w:r w:rsidRPr="00C16BE7">
        <w:rPr>
          <w:rFonts w:ascii="Times New Roman" w:hAnsi="Times New Roman" w:cs="Times New Roman"/>
          <w:sz w:val="24"/>
          <w:szCs w:val="24"/>
        </w:rPr>
        <w:t xml:space="preserve"> увеличится до 88,1%.</w:t>
      </w:r>
    </w:p>
    <w:p w14:paraId="160AA065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14:paraId="1D433799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На конец 2022 года отсутствуют общеобразовательные учреждения, нуждающиеся в капитальном ремонте или находящиеся в аварийном состоянии.</w:t>
      </w:r>
    </w:p>
    <w:p w14:paraId="02A208CD" w14:textId="353760FB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16. Доля детей первой и второй групп здоровья в общей численности обучающихся в муниципальных общеобразовательных учреждениях</w:t>
      </w:r>
    </w:p>
    <w:p w14:paraId="1D384E08" w14:textId="5AD5D3A9" w:rsidR="00F84614" w:rsidRPr="00C16BE7" w:rsidRDefault="00C16BE7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21914" w:rsidRPr="00C16BE7">
        <w:rPr>
          <w:rFonts w:ascii="Times New Roman" w:hAnsi="Times New Roman" w:cs="Times New Roman"/>
          <w:sz w:val="24"/>
          <w:szCs w:val="24"/>
        </w:rPr>
        <w:t>оля детей первой и второй групп здоровья в общей численности обучающихся в муниципальных общеобразовательных учреждениях составила в 2022 году 72,84%.</w:t>
      </w:r>
    </w:p>
    <w:p w14:paraId="14164D2C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Во всех школах налажено горячее питание обучающихся, все обучающиеся 1-4-х классов питаются бесплатно. Регулярно проводятся профилактические мероприятия оздоровительной направленности. </w:t>
      </w:r>
    </w:p>
    <w:p w14:paraId="369B474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По прогнозу к 2025 году этот показатель ожидается на уровне 73,5%.</w:t>
      </w:r>
    </w:p>
    <w:p w14:paraId="2747A9B0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14:paraId="1D095696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в 2022 году уменьшилась до 7,96% (в 2021 году -9,03%).</w:t>
      </w:r>
    </w:p>
    <w:p w14:paraId="0A4B6DD9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lastRenderedPageBreak/>
        <w:t xml:space="preserve">В районе во вторую смену занимаются обучающиеся МБОУ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СОШ и МКОУ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Краснозаводской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СОШ. В связи с небольшой проектной мощностью нет возможности организовать обучение в этих школах только в первую смену.</w:t>
      </w:r>
    </w:p>
    <w:p w14:paraId="244CE8F3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14:paraId="1ADBE340" w14:textId="42C6BFDE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Расходы бюджета муниципального образования на общее образование в расчете на 1 обучающегося в муниципальных общеобразовательных учреждениях в 2022 году составили 72,41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A9BBBC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14:paraId="64E8E2A9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в 2022 г. 51,74%. К 2025 году ожидается рост данного показателя до 65%, в связи с увеличением количества обучающихся, охваченных дополнительным образованием и получением МБДОУ Б-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Косульским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детским садом лицензии на дополнительное образование.</w:t>
      </w:r>
    </w:p>
    <w:p w14:paraId="0A770BF8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412E94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Культура</w:t>
      </w:r>
    </w:p>
    <w:p w14:paraId="348D48BA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2BD6EC" w14:textId="28905B25" w:rsidR="00F84614" w:rsidRPr="00C16BE7" w:rsidRDefault="001F6580" w:rsidP="001F6580">
      <w:pPr>
        <w:autoSpaceDE w:val="0"/>
        <w:autoSpaceDN w:val="0"/>
        <w:adjustRightInd w:val="0"/>
        <w:spacing w:before="100" w:after="0" w:line="240" w:lineRule="auto"/>
        <w:ind w:hanging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914" w:rsidRPr="00C16BE7">
        <w:rPr>
          <w:rFonts w:ascii="Times New Roman" w:hAnsi="Times New Roman" w:cs="Times New Roman"/>
          <w:sz w:val="24"/>
          <w:szCs w:val="24"/>
        </w:rPr>
        <w:tab/>
        <w:t xml:space="preserve">В составе МБУК ЦКС </w:t>
      </w:r>
      <w:proofErr w:type="spellStart"/>
      <w:r w:rsidR="00421914"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421914" w:rsidRPr="00C16BE7">
        <w:rPr>
          <w:rFonts w:ascii="Times New Roman" w:hAnsi="Times New Roman" w:cs="Times New Roman"/>
          <w:sz w:val="24"/>
          <w:szCs w:val="24"/>
        </w:rPr>
        <w:t xml:space="preserve"> района 22 структурных подразделения 8 сельских домов культуры и 14 сельских клубов; МБКУК ЦБС </w:t>
      </w:r>
      <w:proofErr w:type="spellStart"/>
      <w:r w:rsidR="00421914" w:rsidRPr="00C16BE7">
        <w:rPr>
          <w:rFonts w:ascii="Times New Roman" w:hAnsi="Times New Roman" w:cs="Times New Roman"/>
          <w:sz w:val="24"/>
          <w:szCs w:val="24"/>
        </w:rPr>
        <w:t>Богольского</w:t>
      </w:r>
      <w:proofErr w:type="spellEnd"/>
      <w:r w:rsidR="00421914" w:rsidRPr="00C16BE7">
        <w:rPr>
          <w:rFonts w:ascii="Times New Roman" w:hAnsi="Times New Roman" w:cs="Times New Roman"/>
          <w:sz w:val="24"/>
          <w:szCs w:val="24"/>
        </w:rPr>
        <w:t xml:space="preserve"> района центральная библиотека, детская библиотека и 16 филиалов. </w:t>
      </w:r>
    </w:p>
    <w:p w14:paraId="4BE0DCEC" w14:textId="77777777" w:rsidR="00F84614" w:rsidRPr="00C16BE7" w:rsidRDefault="00421914" w:rsidP="001F6580">
      <w:pPr>
        <w:autoSpaceDE w:val="0"/>
        <w:autoSpaceDN w:val="0"/>
        <w:adjustRightInd w:val="0"/>
        <w:spacing w:before="10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Значимыми для района культурными событиями в 2022 году стали: </w:t>
      </w:r>
    </w:p>
    <w:p w14:paraId="0C8824A0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Районное празднование 230-летия с. Красный Завод (количество участников составило около 100 человек, посетили мероприятия больше 350 человек);</w:t>
      </w:r>
    </w:p>
    <w:p w14:paraId="5DF1CE43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XIV Межрегиональный фестиваль детского и молодёжного экранного творчества В.И.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Трегубовича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(совместный проект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г.Боготола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);</w:t>
      </w:r>
    </w:p>
    <w:p w14:paraId="2082CCC3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Районный фестиваль-конкурс народного и прикладного творчества «Лейся, песня русская», проведенный в с. Юрьевка.</w:t>
      </w:r>
    </w:p>
    <w:p w14:paraId="54F6284F" w14:textId="77777777" w:rsidR="00F84614" w:rsidRPr="00C16BE7" w:rsidRDefault="00421914" w:rsidP="001F6580">
      <w:pPr>
        <w:autoSpaceDE w:val="0"/>
        <w:autoSpaceDN w:val="0"/>
        <w:adjustRightInd w:val="0"/>
        <w:spacing w:before="100"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рамках субсидии бюджетам муниципальных образований осуществлен капитальный ремонт Александровского СДК, Ильинского СК. </w:t>
      </w:r>
    </w:p>
    <w:p w14:paraId="53710164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 Уровень фактической обеспеченности учреждениями культуры от нормативной потребности:</w:t>
      </w:r>
    </w:p>
    <w:p w14:paraId="46BE268B" w14:textId="77777777" w:rsidR="00F84614" w:rsidRPr="00C16BE7" w:rsidRDefault="00421914" w:rsidP="001F6580">
      <w:pPr>
        <w:autoSpaceDE w:val="0"/>
        <w:autoSpaceDN w:val="0"/>
        <w:adjustRightInd w:val="0"/>
        <w:spacing w:before="100"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Уровень фактической обеспеченности учреждениями культуры от нормативной потребности в среднем составляет 100%.</w:t>
      </w:r>
    </w:p>
    <w:p w14:paraId="20D2BBEE" w14:textId="45056BBD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клубами и учреждениями клубного типа</w:t>
      </w:r>
      <w:r w:rsid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составил за 2022 год 100%;</w:t>
      </w:r>
    </w:p>
    <w:p w14:paraId="3B68760C" w14:textId="1E0601B0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библиотеками</w:t>
      </w:r>
      <w:r w:rsid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100 %;</w:t>
      </w:r>
    </w:p>
    <w:p w14:paraId="68E1C66A" w14:textId="7C030E91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парками культуры и отдыха</w:t>
      </w:r>
      <w:r w:rsid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F6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парки культуры и отдыха на территории района отсутствуют.</w:t>
      </w:r>
    </w:p>
    <w:p w14:paraId="24EE2F17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14:paraId="4162F0D7" w14:textId="77777777" w:rsidR="00F84614" w:rsidRPr="00C16BE7" w:rsidRDefault="00421914" w:rsidP="00C16BE7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На конец 2022 года из 41 учреждений культуры требуют капитального ремонта:</w:t>
      </w:r>
    </w:p>
    <w:p w14:paraId="0BBE3E80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СДК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с.Медяково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,</w:t>
      </w:r>
    </w:p>
    <w:p w14:paraId="1C70788A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СДК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с.Красный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Завод,</w:t>
      </w:r>
    </w:p>
    <w:p w14:paraId="21CCF6EA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СДК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с.Большая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Косуль,</w:t>
      </w:r>
    </w:p>
    <w:p w14:paraId="4F292C00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д.Булатово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,</w:t>
      </w:r>
    </w:p>
    <w:p w14:paraId="7989D04B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Шулдат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,</w:t>
      </w:r>
    </w:p>
    <w:p w14:paraId="3708B459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д. Дмитриевка,</w:t>
      </w:r>
    </w:p>
    <w:p w14:paraId="63FB91C5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lastRenderedPageBreak/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Разгуляевка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,</w:t>
      </w:r>
    </w:p>
    <w:p w14:paraId="451431CB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д. Лебедевка,</w:t>
      </w:r>
    </w:p>
    <w:p w14:paraId="32C722EC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Коробейниково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,</w:t>
      </w:r>
    </w:p>
    <w:p w14:paraId="1C9379F9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Гнетово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,</w:t>
      </w:r>
    </w:p>
    <w:p w14:paraId="60BB0ECF" w14:textId="77777777" w:rsidR="00F84614" w:rsidRPr="00C16BE7" w:rsidRDefault="00421914" w:rsidP="00C16BE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СК д. Владимировка,</w:t>
      </w:r>
    </w:p>
    <w:p w14:paraId="033414BD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12.МБУК ЦБС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Центральная библиотека,</w:t>
      </w:r>
    </w:p>
    <w:p w14:paraId="000C3B9B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13.МБУК ЦБС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детская библиотека,</w:t>
      </w:r>
    </w:p>
    <w:p w14:paraId="70574B7A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14.МБУК ЦБС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д. Булатово.</w:t>
      </w:r>
    </w:p>
    <w:p w14:paraId="5FF77190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Доля муниципальных учреждений культуры, здания и помещения которых требуют капитального ремонта в общем количестве муниципальных учреждений культуры за 2022 год составила 34,14%. По отношению к 2021 году данный показатель снизился на 12,2 % благодаря проведению ремонтных работ в СДК с. Александровка, СК с. Ильинка, д. Красная Речка, Березовка.</w:t>
      </w:r>
    </w:p>
    <w:p w14:paraId="32CC7FF3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В 2022г. здание СК в п. Чайковский признано аварийным.</w:t>
      </w:r>
    </w:p>
    <w:p w14:paraId="3C9B2857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14:paraId="442D561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зарегистрировано два объекта культурного наследия, находящиеся в муниципальной собственности:</w:t>
      </w:r>
    </w:p>
    <w:p w14:paraId="1A4DC8F1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в с.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Критово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"Трактор "ХТЗ", установленный в 1970 году. Данный объект, в связи с износом, требует реставрации;</w:t>
      </w:r>
    </w:p>
    <w:p w14:paraId="35228BA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в д. Лебедевка «Братская могила партизан, погибших в бою с колчаковским отрядом в 1918 году». Земельный участок находится в бессрочном пользовании в Юрьевском сельсовете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района, расположен на территории кладбища.  В связи с износом, требует реставрации.</w:t>
      </w:r>
    </w:p>
    <w:p w14:paraId="09559304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Таким образом </w:t>
      </w:r>
      <w:r w:rsidRPr="00C16BE7">
        <w:rPr>
          <w:rFonts w:ascii="Times New Roman" w:hAnsi="Times New Roman" w:cs="Times New Roman"/>
          <w:color w:val="000000"/>
          <w:sz w:val="24"/>
          <w:szCs w:val="24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2022 г. составляет 100%, в прогнозном периоде 2023-2025гг. также ожидается в размере 100%. </w:t>
      </w:r>
    </w:p>
    <w:p w14:paraId="1866133A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FC694C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Физическая культура и спорт</w:t>
      </w:r>
    </w:p>
    <w:p w14:paraId="54603830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A14D7D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На территории района два учреждения осуществляют деятельность в области физической культуры и спорта. Муниципальное бюджетное учреждение Спортивная школа «Олимпиец» и Муниципальное автономное учреждение спортивно-оздоровительная база отдыха «Сосновый бор».  </w:t>
      </w:r>
    </w:p>
    <w:p w14:paraId="0026777A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МБУ СШ «Олимпиец» осуществляет спортивную подготовку по виду спорта спортивная борьба (дисциплина греко-римская борьба), 16 человек проходят тренировочный этап, 8 человек на начальной подготовке и 8 человек занимаются на спортивно – оздоровительном этапе.</w:t>
      </w:r>
    </w:p>
    <w:p w14:paraId="5EC2263C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На базе МБУ СШ «Олимпиец» осуществляют свою деятельность 5 спортивных клубов по месту жительства: спортивный клуб «Раскат» (подготовка к сдаче нормативов ВФСК ГТО, фитнес, настольный теннис, открыто отделения северной ходьбы); спортивный клуб «Динамика» (волейбол, настольный теннис, мини - футбол);</w:t>
      </w:r>
      <w:r w:rsidRPr="00C16BE7">
        <w:rPr>
          <w:rFonts w:ascii="Times New Roman" w:hAnsi="Times New Roman" w:cs="Times New Roman"/>
          <w:sz w:val="24"/>
          <w:szCs w:val="24"/>
        </w:rPr>
        <w:tab/>
        <w:t>спортивный клуб «Спарта» ( настольный теннис, ОФП); спортивный клуб «Сосновый бор» (лыжные гонки, спортивный туризм, легкая атлетика); спортивный клуб «Здоровяк» (настольный теннис, шашки, шахматы, ОФП).</w:t>
      </w:r>
    </w:p>
    <w:p w14:paraId="5941BE5D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Всего в клубах по месту жительства занимается 344 человека</w:t>
      </w:r>
    </w:p>
    <w:p w14:paraId="4A30D398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В 2022 году МАУ СОБО «Сосновый Бор» посетили 775 человек. </w:t>
      </w:r>
    </w:p>
    <w:p w14:paraId="4E3257F1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lastRenderedPageBreak/>
        <w:tab/>
        <w:t>Общая численность занимающихся физической культурой и спортом жителей района на конец 2022 года составила 2942 чел.</w:t>
      </w:r>
    </w:p>
    <w:p w14:paraId="7C649DB3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В 2022 году администрации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был предоставлен иной</w:t>
      </w:r>
      <w:r w:rsidRPr="00C16BE7">
        <w:rPr>
          <w:rFonts w:ascii="Times New Roman" w:hAnsi="Times New Roman" w:cs="Times New Roman"/>
          <w:sz w:val="24"/>
          <w:szCs w:val="24"/>
        </w:rPr>
        <w:tab/>
        <w:t xml:space="preserve"> межбюджетный трансферт из краевого бюджета местному бюджету на устройство плоскостного спортивного сооружения в с. Большая Косуль "Комплексная площадка для подвижных игр".</w:t>
      </w:r>
    </w:p>
    <w:p w14:paraId="20F4660B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Доля населения, систематически занимающегося физической культурой и спортом</w:t>
      </w:r>
    </w:p>
    <w:p w14:paraId="7D8EB2A8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Доля населения, систематически занимающихся физической культурой и спортом за 2022 год, в общей численности населения, составила 35,19%, что на 7,36% </w:t>
      </w:r>
      <w:proofErr w:type="gramStart"/>
      <w:r w:rsidRPr="00C16BE7">
        <w:rPr>
          <w:rFonts w:ascii="Times New Roman" w:hAnsi="Times New Roman" w:cs="Times New Roman"/>
          <w:sz w:val="24"/>
          <w:szCs w:val="24"/>
        </w:rPr>
        <w:t>больше</w:t>
      </w:r>
      <w:proofErr w:type="gramEnd"/>
      <w:r w:rsidRPr="00C16BE7">
        <w:rPr>
          <w:rFonts w:ascii="Times New Roman" w:hAnsi="Times New Roman" w:cs="Times New Roman"/>
          <w:sz w:val="24"/>
          <w:szCs w:val="24"/>
        </w:rPr>
        <w:t xml:space="preserve"> чем в 2021 году. К 2025 году этот показатель планируется повысить до 47,60 %.</w:t>
      </w:r>
    </w:p>
    <w:p w14:paraId="5C024DFA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23.1. Доля обучающихся, систематически занимающихся физической культурой и спортом, в общей численности обучающихся</w:t>
      </w:r>
    </w:p>
    <w:p w14:paraId="5B6CE21A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Доля обучающихся, систематически занимающихся физической культурой и спортом, в общей численности обучающихся составила в 2022 году 100%, это связано с тем, что после капитального ремонта открылось 2 спортивных зала, где располагаются клубы по месту жительства, а также в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– спортивном клубе «Динамика» открылось отделение по мини – футболу. К 2025 году возможно снижение данного показателя до 98,5 %, в связи с цифровизацией спортивных учреждений.</w:t>
      </w:r>
    </w:p>
    <w:p w14:paraId="7B2AF7C7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A70828E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Жилищное строительство и обеспечение граждан жильем</w:t>
      </w:r>
    </w:p>
    <w:p w14:paraId="094D65C5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45E46B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За отчетный период введено в эксплуатацию 10 жилых домов, общей площадью 940 </w:t>
      </w:r>
      <w:proofErr w:type="spellStart"/>
      <w:proofErr w:type="gramStart"/>
      <w:r w:rsidRPr="00C16BE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C16BE7">
        <w:rPr>
          <w:rFonts w:ascii="Times New Roman" w:hAnsi="Times New Roman" w:cs="Times New Roman"/>
          <w:sz w:val="24"/>
          <w:szCs w:val="24"/>
        </w:rPr>
        <w:t xml:space="preserve"> (к 2021 году 61%), в том числе 10 индивидуальных жилых домов, построенных населением. </w:t>
      </w:r>
    </w:p>
    <w:p w14:paraId="471BC67A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 Общая площадь жилых помещений, приходящаяся в среднем на одного жителя</w:t>
      </w:r>
    </w:p>
    <w:p w14:paraId="26C66B69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Общая площадь жилых помещений 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на 31.12.2022 года составляет 198,21 тыс. кв. м. В среднем на одного жителя района приходится 25,3 кв. м. жилых помещений, что на 2,99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. больше 2021 года (убыль численности населения).</w:t>
      </w:r>
    </w:p>
    <w:p w14:paraId="25135F1B" w14:textId="1C52D9DF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Выбытие жилого фонда в 2022 году составило 28 жилых домов общей площадью 1139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. (пожар).</w:t>
      </w:r>
    </w:p>
    <w:p w14:paraId="73345EFB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Ежегодный ввод жилых помещений в 2023-2025 г. г. 1050 кв. метров.</w:t>
      </w:r>
    </w:p>
    <w:p w14:paraId="3B2CAAA9" w14:textId="77EAC572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Таким образом, в связи с вводом в эксплуатацию новых жилых помещений и сокращением численности населения к 2025 году данный показатель составит 27,87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. жилья на одного жителя.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2309"/>
        <w:gridCol w:w="1276"/>
        <w:gridCol w:w="1417"/>
        <w:gridCol w:w="1418"/>
        <w:gridCol w:w="1559"/>
        <w:gridCol w:w="1531"/>
      </w:tblGrid>
      <w:tr w:rsidR="00F84614" w:rsidRPr="00C16BE7" w14:paraId="58081CD9" w14:textId="77777777" w:rsidTr="001F6580">
        <w:trPr>
          <w:trHeight w:val="1076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E96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56C8E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326B83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05357F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  <w:p w14:paraId="286223E7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4614" w:rsidRPr="00C16BE7" w14:paraId="7A2095E1" w14:textId="77777777" w:rsidTr="001F6580">
        <w:trPr>
          <w:trHeight w:val="552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990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81E55" w14:textId="77777777" w:rsidR="001F6580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</w:p>
          <w:p w14:paraId="37C7A154" w14:textId="5F1E8DF0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8CCB0" w14:textId="77777777" w:rsidR="001F6580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14:paraId="0084D4EF" w14:textId="7DFEAFBC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977E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оценка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93FF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01500" w14:textId="77777777" w:rsidR="001F6580" w:rsidRDefault="001F6580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07DFC6" w14:textId="1CC14C7D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прогноз</w:t>
            </w:r>
          </w:p>
        </w:tc>
      </w:tr>
      <w:tr w:rsidR="00F84614" w:rsidRPr="00C16BE7" w14:paraId="706DA903" w14:textId="77777777" w:rsidTr="001F6580">
        <w:trPr>
          <w:trHeight w:val="828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C89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Общая площадь жилых помещений, </w:t>
            </w:r>
            <w:proofErr w:type="spellStart"/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16BE7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C37F" w14:textId="50134ED1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198 390,0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3682CD" w14:textId="0FC388D0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198 210,0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544DDFE" w14:textId="5B6441B8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199 260,0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E054C37" w14:textId="303A057D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200 310,0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49A5E2" w14:textId="3CF1577D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201 360,0</w:t>
            </w:r>
          </w:p>
        </w:tc>
      </w:tr>
      <w:tr w:rsidR="00F84614" w:rsidRPr="00C16BE7" w14:paraId="0F075802" w14:textId="77777777" w:rsidTr="001F6580">
        <w:trPr>
          <w:trHeight w:val="288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D71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 Введено жилых помещений за отчетный период, </w:t>
            </w:r>
            <w:proofErr w:type="spellStart"/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891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0006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B73B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2EB3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6EF4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</w:tr>
      <w:tr w:rsidR="00F84614" w:rsidRPr="00C16BE7" w14:paraId="6B921967" w14:textId="77777777" w:rsidTr="001F6580">
        <w:trPr>
          <w:trHeight w:val="288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01F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Выбыло жилых помещений за отчетный период, </w:t>
            </w:r>
            <w:proofErr w:type="spellStart"/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63C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2977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6EF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3B1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8E6F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4614" w:rsidRPr="00C16BE7" w14:paraId="75321BAF" w14:textId="77777777" w:rsidTr="001F6580">
        <w:trPr>
          <w:trHeight w:val="828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65A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C16BE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отчетного года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6EF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0FB9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17AB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EBA9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91E7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7224</w:t>
            </w:r>
          </w:p>
        </w:tc>
      </w:tr>
      <w:tr w:rsidR="00F84614" w:rsidRPr="00C16BE7" w14:paraId="04931E70" w14:textId="77777777" w:rsidTr="001F6580">
        <w:trPr>
          <w:trHeight w:val="828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F6B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F71CB4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B906C3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25,304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E94328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6642A7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26,99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BD9F4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27,87</w:t>
            </w:r>
          </w:p>
        </w:tc>
      </w:tr>
    </w:tbl>
    <w:p w14:paraId="378DAD73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24.1. в том числе введенная в действие за один год</w:t>
      </w:r>
    </w:p>
    <w:p w14:paraId="37176A35" w14:textId="7DF91515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За отчетный период введено в эксплуатацию 959,0 кв.</w:t>
      </w:r>
      <w:r w:rsidR="001F6580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м., в т.ч.  за счет индивидуального жилищного строительства 10 жилых домов общей площадью 959,0 кв.</w:t>
      </w:r>
      <w:r w:rsidR="001F6580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м.   На одного жителя приходится 0,12 кв.</w:t>
      </w:r>
      <w:r w:rsidR="001F6580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м. введенного за год жилья.  В 2023-2025 годах этот показатель составит 0,14 кв.</w:t>
      </w:r>
      <w:r w:rsidR="001F6580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>м.</w:t>
      </w:r>
    </w:p>
    <w:p w14:paraId="18524BBF" w14:textId="5383940E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Прогноз ежегодного ввода жилья на 2023-2025 годы составляет 1050 кв.</w:t>
      </w:r>
      <w:r w:rsidR="001F6580">
        <w:rPr>
          <w:rFonts w:ascii="Times New Roman" w:hAnsi="Times New Roman" w:cs="Times New Roman"/>
          <w:sz w:val="24"/>
          <w:szCs w:val="24"/>
        </w:rPr>
        <w:t xml:space="preserve"> </w:t>
      </w:r>
      <w:r w:rsidRPr="00C16BE7">
        <w:rPr>
          <w:rFonts w:ascii="Times New Roman" w:hAnsi="Times New Roman" w:cs="Times New Roman"/>
          <w:sz w:val="24"/>
          <w:szCs w:val="24"/>
        </w:rPr>
        <w:t xml:space="preserve">м. 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3276"/>
        <w:gridCol w:w="1417"/>
        <w:gridCol w:w="1134"/>
        <w:gridCol w:w="1134"/>
        <w:gridCol w:w="1134"/>
        <w:gridCol w:w="1276"/>
      </w:tblGrid>
      <w:tr w:rsidR="00F84614" w:rsidRPr="00C16BE7" w14:paraId="0B6DD96C" w14:textId="77777777">
        <w:trPr>
          <w:trHeight w:val="51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A5B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25AA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F84614" w:rsidRPr="00C16BE7" w14:paraId="185FEFE2" w14:textId="77777777">
        <w:trPr>
          <w:trHeight w:val="55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C2CE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FFFA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F609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602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B06E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45EA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прогноз</w:t>
            </w:r>
          </w:p>
        </w:tc>
      </w:tr>
      <w:tr w:rsidR="00F84614" w:rsidRPr="00C16BE7" w14:paraId="7D699572" w14:textId="77777777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620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Введено всего, </w:t>
            </w:r>
            <w:proofErr w:type="spellStart"/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BF797D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488B8C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C262B9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635CF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1F2DF3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</w:t>
            </w:r>
          </w:p>
        </w:tc>
      </w:tr>
      <w:tr w:rsidR="00F84614" w:rsidRPr="00C16BE7" w14:paraId="1B57B979" w14:textId="77777777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222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индивидуальное жилищное строительство, </w:t>
            </w:r>
            <w:proofErr w:type="spellStart"/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608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E88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2094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A2C1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AB67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1 050</w:t>
            </w:r>
          </w:p>
        </w:tc>
      </w:tr>
      <w:tr w:rsidR="00F84614" w:rsidRPr="00C16BE7" w14:paraId="5E87B246" w14:textId="77777777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053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многоквартирное строительство, </w:t>
            </w:r>
            <w:proofErr w:type="spellStart"/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DF0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BBCA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2399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7987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1D65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4614" w:rsidRPr="00C16BE7" w14:paraId="54837736" w14:textId="7777777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00E6" w14:textId="57AACDB9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</w:t>
            </w: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266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76B9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98E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E63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57F5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7 324</w:t>
            </w:r>
          </w:p>
        </w:tc>
      </w:tr>
      <w:tr w:rsidR="00F84614" w:rsidRPr="00C16BE7" w14:paraId="79D47C06" w14:textId="77777777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327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1794BD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55EECF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5B6921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0FFAB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12F1D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0,14</w:t>
            </w:r>
          </w:p>
        </w:tc>
      </w:tr>
    </w:tbl>
    <w:p w14:paraId="19556652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14:paraId="32AF65E7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2022 году площадь земельных участков, предоставленных для строительства, составила 8,34 га (20 участков), в том числе для жилищного строительства – 3,34 га (19 участков). Для строительства объектов, не являющихся объектами жилищного строительства- 5,0 га (1 участок) строительство объекта «Зернохранилища» в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с.Боготол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E51F2B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На период 2023-2025 годы планируется ежегодное предоставление  4 га (20 участков) для индивидуального жилищного строительства на территории района, и 5 га для строительства объектов, не являющихся объектами жилищного строительства (земельные участки для строительства здания с/х переработки).</w:t>
      </w:r>
    </w:p>
    <w:p w14:paraId="29E97CB4" w14:textId="77777777" w:rsidR="00F84614" w:rsidRPr="00C16BE7" w:rsidRDefault="00F84614" w:rsidP="00C16BE7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410"/>
        <w:gridCol w:w="992"/>
        <w:gridCol w:w="992"/>
        <w:gridCol w:w="992"/>
        <w:gridCol w:w="993"/>
        <w:gridCol w:w="1134"/>
      </w:tblGrid>
      <w:tr w:rsidR="00F84614" w:rsidRPr="00C16BE7" w14:paraId="472BB495" w14:textId="77777777">
        <w:trPr>
          <w:trHeight w:val="28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7D7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4F3D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F84614" w:rsidRPr="00C16BE7" w14:paraId="658D8052" w14:textId="77777777">
        <w:trPr>
          <w:trHeight w:val="837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8F6B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9ED2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C305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2E8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оценка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4A79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604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прогноз</w:t>
            </w:r>
          </w:p>
        </w:tc>
      </w:tr>
      <w:tr w:rsidR="00F84614" w:rsidRPr="00C16BE7" w14:paraId="39A9F228" w14:textId="77777777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5A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Площадь земельных участков, предоставленных для строительства, </w:t>
            </w:r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га,  всего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72B2E7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EA1ADA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B8F7D4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AC569F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27E7DB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9,00</w:t>
            </w:r>
          </w:p>
        </w:tc>
      </w:tr>
      <w:tr w:rsidR="00F84614" w:rsidRPr="00C16BE7" w14:paraId="4794648A" w14:textId="77777777">
        <w:trPr>
          <w:trHeight w:val="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BB1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для жилищного строительства (в т.ч. для ИЖС</w:t>
            </w:r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 га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B4B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2D1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DBC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09C7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510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</w:t>
            </w:r>
          </w:p>
        </w:tc>
      </w:tr>
      <w:tr w:rsidR="00F84614" w:rsidRPr="00C16BE7" w14:paraId="06DED1B6" w14:textId="77777777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EAA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для комплексного освоения в целях жилищного строительства,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417C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12AF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773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EF84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8B04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F84614" w:rsidRPr="00C16BE7" w14:paraId="75AF5CA9" w14:textId="77777777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DEA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1.3. для строительства объектов, не являющихся объектами жилищного строительства,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D749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F9C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2471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D8BA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45BB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F84614" w:rsidRPr="00C16BE7" w14:paraId="23A6AD99" w14:textId="77777777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AFC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16BE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</w:t>
            </w: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E9D8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9 004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EAA1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F66C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7C6C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8C6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7324</w:t>
            </w:r>
          </w:p>
        </w:tc>
      </w:tr>
      <w:tr w:rsidR="00F84614" w:rsidRPr="00C16BE7" w14:paraId="4D5BDBA0" w14:textId="77777777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952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38DF44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7E2321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BA7BF4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D62898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842950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12,29</w:t>
            </w:r>
          </w:p>
        </w:tc>
      </w:tr>
      <w:tr w:rsidR="00F84614" w:rsidRPr="00C16BE7" w14:paraId="40074B18" w14:textId="77777777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57C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00622A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66CFA1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7DC3743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E4E215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66306C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5,46</w:t>
            </w:r>
          </w:p>
        </w:tc>
      </w:tr>
    </w:tbl>
    <w:p w14:paraId="72D8B2E7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25.1. </w:t>
      </w:r>
      <w:bookmarkStart w:id="0" w:name="_GoBack"/>
      <w:bookmarkEnd w:id="0"/>
      <w:r w:rsidRPr="00C16BE7">
        <w:rPr>
          <w:rFonts w:ascii="Times New Roman" w:hAnsi="Times New Roman" w:cs="Times New Roman"/>
          <w:b/>
          <w:bCs/>
          <w:sz w:val="24"/>
          <w:szCs w:val="24"/>
        </w:rPr>
        <w:t>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14:paraId="7E544A4A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BE7">
        <w:rPr>
          <w:rFonts w:ascii="Times New Roman" w:hAnsi="Times New Roman" w:cs="Times New Roman"/>
          <w:sz w:val="24"/>
          <w:szCs w:val="24"/>
        </w:rPr>
        <w:t xml:space="preserve">Площадь земельных участков предоставленных для жилищного строительства, индивидуального строительства  в 2022 году составила 4,21  га на 10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тыс.человек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населения района  (на 5,56 га меньше значения показателя 2021 года). Для комплексного освоения в целях жилищного строительства 2022 году земельные участки не предоставлялись.</w:t>
      </w:r>
    </w:p>
    <w:p w14:paraId="6B5FD1F5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 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14:paraId="7D4CB0D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26.1. объектов жилищного строительства - в течение 3 лет</w:t>
      </w:r>
    </w:p>
    <w:p w14:paraId="2D4506CD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Земельных участков, предоставленных для строительства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течении 3 лет в районе нет.</w:t>
      </w:r>
    </w:p>
    <w:p w14:paraId="7BD95FA6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26.2. иных объектов капитального строительства - в течение 5 лет</w:t>
      </w:r>
    </w:p>
    <w:p w14:paraId="2E116515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Также отсутствуют земельные участки, предоставленные для строительства иных объектов,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течении 5 лет.</w:t>
      </w:r>
    </w:p>
    <w:p w14:paraId="398552EE" w14:textId="77777777" w:rsidR="00C16BE7" w:rsidRDefault="00C16BE7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4ACBA5" w14:textId="104B72F1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Жилищно-коммунальное хозяйство</w:t>
      </w:r>
    </w:p>
    <w:p w14:paraId="18E4991E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44BCA26" w14:textId="123EFD83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14:paraId="6B1E97AF" w14:textId="5D6FB865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14:paraId="0FAE0472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14:paraId="265F7BD4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6 организаций оказывают услуги  в сфере ЖКХ, две из них (МУП "РТЭК и МКП "Услуга") муниципальной формы собственности и одна организация государственной формы собственности (ГКХ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КрасноярскКрайгаз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Назаровский филиал) .</w:t>
      </w:r>
    </w:p>
    <w:p w14:paraId="381E392D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</w:t>
      </w:r>
      <w:r w:rsidRPr="00C16BE7">
        <w:rPr>
          <w:rFonts w:ascii="Times New Roman" w:hAnsi="Times New Roman" w:cs="Times New Roman"/>
          <w:sz w:val="24"/>
          <w:szCs w:val="24"/>
        </w:rPr>
        <w:lastRenderedPageBreak/>
        <w:t xml:space="preserve">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составила 50,00%.</w:t>
      </w:r>
    </w:p>
    <w:p w14:paraId="7CD260FC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14:paraId="78772476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На 31.12.2021 г. в отношении 50% земельных участков, на которых расположены многоквартирные дома, осуществлен земельный кадастровый учет. </w:t>
      </w:r>
    </w:p>
    <w:tbl>
      <w:tblPr>
        <w:tblW w:w="0" w:type="auto"/>
        <w:tblInd w:w="98" w:type="dxa"/>
        <w:tblLayout w:type="fixed"/>
        <w:tblLook w:val="0000" w:firstRow="0" w:lastRow="0" w:firstColumn="0" w:lastColumn="0" w:noHBand="0" w:noVBand="0"/>
      </w:tblPr>
      <w:tblGrid>
        <w:gridCol w:w="4121"/>
        <w:gridCol w:w="1134"/>
        <w:gridCol w:w="992"/>
        <w:gridCol w:w="993"/>
        <w:gridCol w:w="1134"/>
        <w:gridCol w:w="1275"/>
      </w:tblGrid>
      <w:tr w:rsidR="00F84614" w:rsidRPr="00C16BE7" w14:paraId="6531C59A" w14:textId="77777777">
        <w:trPr>
          <w:trHeight w:val="288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B83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8E1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F84614" w:rsidRPr="00C16BE7" w14:paraId="3DE38F54" w14:textId="77777777">
        <w:trPr>
          <w:trHeight w:val="552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8155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C724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8DF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2022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648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42A3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2024 прогноз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43DC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2025 прогноз</w:t>
            </w:r>
          </w:p>
        </w:tc>
      </w:tr>
      <w:tr w:rsidR="00F84614" w:rsidRPr="00C16BE7" w14:paraId="0F7AB91C" w14:textId="77777777">
        <w:trPr>
          <w:trHeight w:val="828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69A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E0D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A7D2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F956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3B3F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CB86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84614" w:rsidRPr="00C16BE7" w14:paraId="255E05DC" w14:textId="77777777">
        <w:trPr>
          <w:trHeight w:val="56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266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2. Общее число многоквартирных домов по состоянию на конец отчетного периода, единиц 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данным статистического отчета 1-жилфонд строка 01 графа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6FA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AF81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D808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9593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FA0F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84614" w:rsidRPr="00C16BE7" w14:paraId="0D8BE49B" w14:textId="77777777">
        <w:trPr>
          <w:trHeight w:val="1272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874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F38F3F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06F4811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6D09C6F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B23E47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B00ECD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</w:tbl>
    <w:p w14:paraId="0ADF736B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30.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14:paraId="082C4F1A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В 2022 г. 3 малоимущие семьи получили жилье по договорам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соцнайма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>, 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по договорам социального найма составила 23,08%.</w:t>
      </w:r>
    </w:p>
    <w:p w14:paraId="26E3434E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Численность населения (семей), состоящего на учете в качестве нуждающегося в жилых помещениях по договорам социального найма: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4123"/>
        <w:gridCol w:w="1134"/>
        <w:gridCol w:w="992"/>
        <w:gridCol w:w="993"/>
        <w:gridCol w:w="1134"/>
        <w:gridCol w:w="1275"/>
      </w:tblGrid>
      <w:tr w:rsidR="00F84614" w:rsidRPr="00C16BE7" w14:paraId="542A100A" w14:textId="77777777">
        <w:trPr>
          <w:trHeight w:val="288"/>
        </w:trPr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DD4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AD3B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</w:tr>
      <w:tr w:rsidR="00F84614" w:rsidRPr="00C16BE7" w14:paraId="7B70BA75" w14:textId="77777777">
        <w:trPr>
          <w:trHeight w:val="552"/>
        </w:trPr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EAD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F540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810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2022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D1C3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317058C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B7CC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59BDA82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577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2025 прогноз</w:t>
            </w:r>
          </w:p>
        </w:tc>
      </w:tr>
      <w:tr w:rsidR="00F84614" w:rsidRPr="00C16BE7" w14:paraId="6CA78D59" w14:textId="77777777">
        <w:trPr>
          <w:trHeight w:val="1920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43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1. Численность населения (семей), получившего жилые помещения и улучшившего жилищные условия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договору социального найма в отчетном году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16BE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 данным статистического отчета 4-жилфонд строка 04 графа 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0732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E6DD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8C6A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67B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A7A6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4614" w:rsidRPr="00C16BE7" w14:paraId="0A62DCA5" w14:textId="77777777">
        <w:trPr>
          <w:trHeight w:val="699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82C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Численность населения (семей), состоящего на учете в качестве нуждающегося в жилых помещениях </w:t>
            </w: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договорам социального найма на конец прошлого года</w:t>
            </w: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, чел. 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4A28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AF2F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8189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351E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2C5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84614" w:rsidRPr="00C16BE7" w14:paraId="4396935C" w14:textId="77777777">
        <w:trPr>
          <w:trHeight w:val="2164"/>
        </w:trPr>
        <w:tc>
          <w:tcPr>
            <w:tcW w:w="4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68C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03B750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14058C7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23,08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33EACC4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51AAD2B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2161E4E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11,11</w:t>
            </w:r>
          </w:p>
        </w:tc>
      </w:tr>
    </w:tbl>
    <w:p w14:paraId="02A0016C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Планируемое значение показателя в 2023-25гг. составит соответственно в 2023г. 4,55%, 2024г. 4,76%, в 2025г. 5,00%. </w:t>
      </w:r>
    </w:p>
    <w:p w14:paraId="4F634D46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Боготольском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районе в 2022 году действовала муниципальная программа «Обеспечение доступным и комфортным жильем граждан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района», по подпрограмме 4 </w:t>
      </w:r>
      <w:r w:rsidRPr="00C16BE7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C16BE7">
        <w:rPr>
          <w:rFonts w:ascii="Times New Roman" w:hAnsi="Times New Roman" w:cs="Times New Roman"/>
          <w:kern w:val="36"/>
          <w:sz w:val="24"/>
          <w:szCs w:val="24"/>
        </w:rPr>
        <w:t xml:space="preserve">Осуществление полномочий, переданных сельскими советами </w:t>
      </w:r>
      <w:proofErr w:type="spellStart"/>
      <w:r w:rsidRPr="00C16BE7">
        <w:rPr>
          <w:rFonts w:ascii="Times New Roman" w:hAnsi="Times New Roman" w:cs="Times New Roman"/>
          <w:kern w:val="36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kern w:val="36"/>
          <w:sz w:val="24"/>
          <w:szCs w:val="24"/>
        </w:rPr>
        <w:t xml:space="preserve"> района</w:t>
      </w:r>
      <w:r w:rsidRPr="00C16BE7">
        <w:rPr>
          <w:rFonts w:ascii="Times New Roman" w:hAnsi="Times New Roman" w:cs="Times New Roman"/>
          <w:sz w:val="24"/>
          <w:szCs w:val="24"/>
        </w:rPr>
        <w:t xml:space="preserve"> по созданию условий для обеспечения доступным и комфортным жильем граждан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C16BE7">
        <w:rPr>
          <w:rFonts w:ascii="Times New Roman" w:hAnsi="Times New Roman" w:cs="Times New Roman"/>
          <w:kern w:val="2"/>
          <w:sz w:val="24"/>
          <w:szCs w:val="24"/>
        </w:rPr>
        <w:t>» в 2022 году улучшила жилищные условия 1 молодая семья.</w:t>
      </w:r>
    </w:p>
    <w:p w14:paraId="2F984362" w14:textId="77777777" w:rsidR="00F84614" w:rsidRPr="00C16BE7" w:rsidRDefault="00421914" w:rsidP="00C16BE7">
      <w:p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>Жилье в районе строится в большей доле индивидуальными застройщиками за счет собственных и заемных средств.</w:t>
      </w:r>
    </w:p>
    <w:p w14:paraId="2EE6CE82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78D14C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Организация муниципального управления</w:t>
      </w:r>
    </w:p>
    <w:p w14:paraId="1D0E4EB7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8EE71FC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14:paraId="1C5C1F09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составила в 2022 году 10,09%, что выше уровня 2021 года на 6,10%. В 2023 году снижение показателя к уровню 2022 года составил 1,39%.</w:t>
      </w:r>
    </w:p>
    <w:p w14:paraId="151F56A4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>Ожидаемое увеличение показателя в 2024 и 2025 гг. связано, в первую очередь, с увеличением объема налоговых и неналоговых доходов в 2024 году на 1,24 млн. рублей, 2025 году на 1,33 млн. рублей.</w:t>
      </w:r>
    </w:p>
    <w:p w14:paraId="192A8874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14:paraId="0DA96050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>Организации муниципальной формы собственности, находящиеся в стадии банкротства, на территории муниципального района отсутствуют.</w:t>
      </w:r>
    </w:p>
    <w:p w14:paraId="3748E8D5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14:paraId="6FBBB5F1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>Не завершенного в установленные сроки строительства, осуществляемого за счет средств бюджета муниципального района на территории нет.</w:t>
      </w:r>
    </w:p>
    <w:p w14:paraId="0F3FC4C2" w14:textId="77777777" w:rsidR="00F84614" w:rsidRPr="00C16BE7" w:rsidRDefault="00F846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6C07BE" w14:textId="77777777" w:rsidR="00F84614" w:rsidRPr="00C16BE7" w:rsidRDefault="00F846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1BF83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14:paraId="128562C1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>В 2022 году кредиторская задолженность у муниципальных учреждений района отсутствовала. Задолженности по заработной плате перед работниками бюджетной сферы нет.</w:t>
      </w:r>
    </w:p>
    <w:p w14:paraId="736F1DB2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14:paraId="25D844A9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26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color w:val="000000"/>
          <w:sz w:val="24"/>
          <w:szCs w:val="24"/>
        </w:rPr>
        <w:t>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2022 год выросли по сравнению с исполнением за 2021 год на 2404,37 рублей, и составили 10603,27 рублей. В соответствие с запланированными расходами на 2023 год плановый показатель составит 11785,99 руб. На 2024 г. в связи с ростом инфляции с одной стороны и снижением численности населения района с другой стороны этот показатель запланирован в объеме 12688,21 руб., на 2025 год в объеме 13557,88 руб.</w:t>
      </w:r>
    </w:p>
    <w:p w14:paraId="3D957812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14:paraId="78DBA1A9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Схема территориального планирования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утверждена Решением Совета депутатов от 08.10.2010г. № 6-26.</w:t>
      </w:r>
    </w:p>
    <w:p w14:paraId="64870C62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14:paraId="23558F53" w14:textId="40453D01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ab/>
        <w:t xml:space="preserve">Уровень удовлетворенности населения деятельностью органов местного самоуправления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в 2022 году составил 59,6% (в 2021 г. 55,5 %).</w:t>
      </w:r>
    </w:p>
    <w:p w14:paraId="1DB1DF1B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38. Среднегодовая численность постоянного населения</w:t>
      </w:r>
    </w:p>
    <w:p w14:paraId="743BE95D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Среднегодовая численность постоянного населения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за 2022 год составила 7934 чел. Данные скорректированы с учетом данных Всероссийской переписи населения (2020-2021),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вследствии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чего, разница между 2021 и 2022 годом составила 1060 человек. Предполагается, что к 2025 году сохранится динамика снижения численности населения.</w:t>
      </w:r>
      <w:r w:rsidRPr="00C16BE7">
        <w:rPr>
          <w:rFonts w:ascii="Times New Roman" w:hAnsi="Times New Roman" w:cs="Times New Roman"/>
          <w:sz w:val="24"/>
          <w:szCs w:val="24"/>
        </w:rPr>
        <w:tab/>
      </w:r>
    </w:p>
    <w:p w14:paraId="39748C39" w14:textId="77777777" w:rsidR="00F84614" w:rsidRPr="00C16BE7" w:rsidRDefault="00421914" w:rsidP="001F6580">
      <w:pPr>
        <w:autoSpaceDE w:val="0"/>
        <w:autoSpaceDN w:val="0"/>
        <w:adjustRightInd w:val="0"/>
        <w:spacing w:after="20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На динамику численности населения в прогнозном периоде влияют демографические процессы, происходящие в предыдущем и текущем году. Определяющую роль здесь будет играть и трудовая миграция населения. Общая убыль численности постоянного населения района в предстоящий трехлетний период составит 610 человек и в 2025 году достигнет 7324 человека.</w:t>
      </w: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1005"/>
        <w:gridCol w:w="1842"/>
        <w:gridCol w:w="1276"/>
        <w:gridCol w:w="1134"/>
        <w:gridCol w:w="1134"/>
        <w:gridCol w:w="1134"/>
        <w:gridCol w:w="1418"/>
      </w:tblGrid>
      <w:tr w:rsidR="00F84614" w:rsidRPr="00C16BE7" w14:paraId="45A9EE7B" w14:textId="77777777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2ED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AB0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CF89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F84614" w:rsidRPr="00C16BE7" w14:paraId="73DFD4B5" w14:textId="77777777">
        <w:trPr>
          <w:trHeight w:val="552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C9EA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D8B1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9F17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 факт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1430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5A42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78D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9AC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прогноз</w:t>
            </w:r>
          </w:p>
        </w:tc>
      </w:tr>
      <w:tr w:rsidR="00F84614" w:rsidRPr="00C16BE7" w14:paraId="75EAAADE" w14:textId="77777777">
        <w:trPr>
          <w:trHeight w:val="11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17F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547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5AA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80B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55BC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7 730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815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7 525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59CB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7 324</w:t>
            </w:r>
          </w:p>
        </w:tc>
      </w:tr>
      <w:tr w:rsidR="00F84614" w:rsidRPr="00C16BE7" w14:paraId="6290FDC5" w14:textId="77777777">
        <w:trPr>
          <w:trHeight w:val="85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F26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4EE5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B3A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9 116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2FA4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89CD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7 833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5F63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7D7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7 423</w:t>
            </w:r>
          </w:p>
        </w:tc>
      </w:tr>
      <w:tr w:rsidR="00F84614" w:rsidRPr="00C16BE7" w14:paraId="6612BE68" w14:textId="77777777">
        <w:trPr>
          <w:trHeight w:val="6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60A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E58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Численность родившихся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334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7272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58AE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DF52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2354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F84614" w:rsidRPr="00C16BE7" w14:paraId="23560419" w14:textId="77777777">
        <w:trPr>
          <w:trHeight w:val="7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EE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4966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Численность умерших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944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858A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E53E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0FE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CC6D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F84614" w:rsidRPr="00C16BE7" w14:paraId="5E923A9A" w14:textId="77777777">
        <w:trPr>
          <w:trHeight w:val="55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F7A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4302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 (+</w:t>
            </w:r>
            <w:proofErr w:type="gram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),убыль</w:t>
            </w:r>
            <w:proofErr w:type="gramEnd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753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8E2A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AE29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3021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2DF6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-79</w:t>
            </w:r>
          </w:p>
        </w:tc>
      </w:tr>
      <w:tr w:rsidR="00F84614" w:rsidRPr="00C16BE7" w14:paraId="3CC0A10A" w14:textId="77777777">
        <w:trPr>
          <w:trHeight w:val="7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164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ECE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Численность прибывших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DDE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63F5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9637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AC60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B8CA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</w:tr>
      <w:tr w:rsidR="00F84614" w:rsidRPr="00C16BE7" w14:paraId="73A9D58F" w14:textId="77777777">
        <w:trPr>
          <w:trHeight w:val="5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CE7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1F7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Численность убывших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049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B6E4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120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9680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8F98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F84614" w:rsidRPr="00C16BE7" w14:paraId="2415CB5E" w14:textId="77777777">
        <w:trPr>
          <w:trHeight w:val="7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B22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96EE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Миграционный прирост(+</w:t>
            </w:r>
            <w:proofErr w:type="gram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),убыль</w:t>
            </w:r>
            <w:proofErr w:type="gramEnd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(-)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E9C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980E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8AB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3B5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D774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-120</w:t>
            </w:r>
          </w:p>
        </w:tc>
      </w:tr>
    </w:tbl>
    <w:p w14:paraId="4FD6669B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F2B2358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Энергосбережение и повышение энергетической эффективности</w:t>
      </w:r>
    </w:p>
    <w:p w14:paraId="56CF5954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BA2C367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14:paraId="5713EF2A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Показатель по электроэнергии (39.1) в 2022 году значительно увеличился по причине недостоверной информации ресурсоснабжающей организацией ПАО «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Красноярскэнергосбыт</w:t>
      </w:r>
      <w:proofErr w:type="spellEnd"/>
      <w:proofErr w:type="gramStart"/>
      <w:r w:rsidRPr="00C16BE7">
        <w:rPr>
          <w:rFonts w:ascii="Times New Roman" w:hAnsi="Times New Roman" w:cs="Times New Roman"/>
          <w:sz w:val="24"/>
          <w:szCs w:val="24"/>
        </w:rPr>
        <w:t>»,предоставленной</w:t>
      </w:r>
      <w:proofErr w:type="gramEnd"/>
      <w:r w:rsidRPr="00C16BE7">
        <w:rPr>
          <w:rFonts w:ascii="Times New Roman" w:hAnsi="Times New Roman" w:cs="Times New Roman"/>
          <w:sz w:val="24"/>
          <w:szCs w:val="24"/>
        </w:rPr>
        <w:t xml:space="preserve"> за 2021 год. </w:t>
      </w:r>
    </w:p>
    <w:p w14:paraId="32CB091B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Численность, проживающих в МКД составляет 323 человек. Общая площадь жилых помещений в многоквартирных домах 5679,89 м</w:t>
      </w:r>
      <w:r w:rsidRPr="00C16B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6BE7">
        <w:rPr>
          <w:rFonts w:ascii="Times New Roman" w:hAnsi="Times New Roman" w:cs="Times New Roman"/>
          <w:sz w:val="24"/>
          <w:szCs w:val="24"/>
        </w:rPr>
        <w:t>. На период 2023-2025 годов показатель останется на уровне 2022 года.</w:t>
      </w:r>
    </w:p>
    <w:p w14:paraId="32292B66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Расшифровка показателя №39.1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075"/>
        <w:gridCol w:w="1134"/>
        <w:gridCol w:w="1134"/>
        <w:gridCol w:w="1134"/>
        <w:gridCol w:w="1134"/>
        <w:gridCol w:w="1134"/>
        <w:gridCol w:w="1247"/>
      </w:tblGrid>
      <w:tr w:rsidR="00F84614" w:rsidRPr="00C16BE7" w14:paraId="088301F8" w14:textId="77777777" w:rsidTr="00B90073">
        <w:trPr>
          <w:trHeight w:val="46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B2AE" w14:textId="77777777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1371,58</w:t>
            </w:r>
          </w:p>
          <w:p w14:paraId="7B3DBA1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E2F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33D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3F8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 факт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4E1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BA09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03CFE7" w14:textId="4B245FB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C690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4B9AF2" w14:textId="2B85BAD8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14:paraId="7D84216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5095E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039243" w14:textId="5C9750D6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110F06C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F84614" w:rsidRPr="00C16BE7" w14:paraId="4F493AA1" w14:textId="77777777" w:rsidTr="00B90073">
        <w:trPr>
          <w:trHeight w:val="70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312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39.1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950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354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кВт·ч</w:t>
            </w:r>
            <w:proofErr w:type="spellEnd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F6E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DD6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1397,28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7807" w14:textId="77777777" w:rsidR="00F84614" w:rsidRPr="00C16BE7" w:rsidRDefault="00F846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CACE9" w14:textId="25EA7ECB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1397,28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56F6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FFE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1397,28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CD16F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B5AD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1397,28</w:t>
            </w:r>
          </w:p>
        </w:tc>
      </w:tr>
      <w:tr w:rsidR="00F84614" w:rsidRPr="00C16BE7" w14:paraId="2A6A4997" w14:textId="77777777" w:rsidTr="00B90073">
        <w:trPr>
          <w:trHeight w:val="450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FB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42B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608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3DC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57149,0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0F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451321,0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9F69" w14:textId="77777777" w:rsidR="00F84614" w:rsidRPr="00C16BE7" w:rsidRDefault="00F846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E2159" w14:textId="77777777" w:rsidR="00B90073" w:rsidRDefault="00B90073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44E57" w14:textId="4B08B900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451321,0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5F95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C19AC" w14:textId="77777777" w:rsidR="00B90073" w:rsidRDefault="00B90073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BA42" w14:textId="3B421FD6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451321,0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475BBB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6B971" w14:textId="77777777" w:rsidR="00B90073" w:rsidRDefault="00B90073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6E20A" w14:textId="1B01DFE3" w:rsidR="00F84614" w:rsidRPr="00C16BE7" w:rsidRDefault="00421914" w:rsidP="00C1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451321,0</w:t>
            </w:r>
          </w:p>
        </w:tc>
      </w:tr>
      <w:tr w:rsidR="00F84614" w:rsidRPr="00C16BE7" w14:paraId="449DDFED" w14:textId="77777777" w:rsidTr="00B90073">
        <w:trPr>
          <w:trHeight w:val="675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E2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52F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E39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FC4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7F4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527B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61F69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DFFB48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FDA1C" w14:textId="613503CF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2B48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C2B19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091113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E0B90" w14:textId="30B7E641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FE76F7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6D1E7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516B2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3B2C" w14:textId="68E0C7FD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14:paraId="77A451DF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тепловой энергии (39.2) в 2022г остался на уровне 2021г. Прогнозируемые показатели на 2023-2025 годы останутся на уровне 2022 года, так как не планируется увеличение тепловых мощностей и количества потребителей данного ресурса. </w:t>
      </w:r>
    </w:p>
    <w:p w14:paraId="75E5E2DA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Удельная величина потребления энергетических ресурсов: тепловой энергии, холодной воды установлена по нормативам, в связи с тем, что в многоквартирных домах отсутствуют коллективные приборы учета. </w:t>
      </w:r>
    </w:p>
    <w:p w14:paraId="0F3CB55E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Показатель тепловой энергии (39.2) в 2022г остался на уровне 2021г. Прогнозируемые показатели на 2023-2025 годы останутся на уровне 2022 года, так как не планируется увеличение тепловых мощностей и количества потребителей данного ресурса. </w:t>
      </w:r>
    </w:p>
    <w:p w14:paraId="2706877B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Расшифровка показателя №39.2</w:t>
      </w:r>
    </w:p>
    <w:tbl>
      <w:tblPr>
        <w:tblW w:w="953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2013"/>
        <w:gridCol w:w="1276"/>
        <w:gridCol w:w="1134"/>
        <w:gridCol w:w="1134"/>
        <w:gridCol w:w="1134"/>
        <w:gridCol w:w="1134"/>
        <w:gridCol w:w="1105"/>
      </w:tblGrid>
      <w:tr w:rsidR="00B90073" w:rsidRPr="00C16BE7" w14:paraId="1010FFB2" w14:textId="77777777" w:rsidTr="00B90073">
        <w:trPr>
          <w:trHeight w:val="93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333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2251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5C83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E85D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0D12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D3EB42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4F7A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D8FBF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10503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14:paraId="1CE1AF1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7A54F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5D7CE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7E8D5C0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B90073" w:rsidRPr="00C16BE7" w14:paraId="1D0D0DFA" w14:textId="77777777" w:rsidTr="00B90073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002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852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20CA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A2E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881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797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F5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C54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9655" w14:textId="1A0BAA83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B90073" w:rsidRPr="00C16BE7" w14:paraId="2CC298D4" w14:textId="77777777" w:rsidTr="00B90073">
        <w:trPr>
          <w:trHeight w:val="411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01C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97A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объем потребленной тепловой энергии в многоквартирных домах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790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8E9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2353,06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DA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2320,06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914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2320,06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799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2320,06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23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2320,06</w:t>
            </w:r>
          </w:p>
        </w:tc>
      </w:tr>
      <w:tr w:rsidR="00B90073" w:rsidRPr="00C16BE7" w14:paraId="13168A24" w14:textId="77777777" w:rsidTr="00B90073">
        <w:trPr>
          <w:trHeight w:val="6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D67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01E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в многоквартирных домах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6DC5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4D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9FB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431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9CC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51F6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4FEA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B0688" w14:textId="628A0AB3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</w:tr>
    </w:tbl>
    <w:p w14:paraId="62BE4EC8" w14:textId="77777777" w:rsidR="00F84614" w:rsidRPr="00C16BE7" w:rsidRDefault="00F846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E14857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Текущий показатель по холодной воде (39.4) в 2022 году уменьшился по сравнению с 2021 годом по причине того, что жители многоквартирных домов имеют приусадебные участки, для полива которых, учет воды осуществляется через приборы учета установленные в квартирах. В связи с тем, что осадков в 2022 году было выше нормы, полив приусадебных участков осуществлялся реже. В прогнозируемом периоде 2023-2025 годов показатель останется на уровне 2022 года.</w:t>
      </w:r>
    </w:p>
    <w:p w14:paraId="12A10AD9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Расшифровка показателя №39.4</w:t>
      </w:r>
    </w:p>
    <w:tbl>
      <w:tblPr>
        <w:tblW w:w="953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02"/>
        <w:gridCol w:w="2789"/>
        <w:gridCol w:w="1208"/>
        <w:gridCol w:w="992"/>
        <w:gridCol w:w="992"/>
        <w:gridCol w:w="993"/>
        <w:gridCol w:w="992"/>
        <w:gridCol w:w="963"/>
      </w:tblGrid>
      <w:tr w:rsidR="00F84614" w:rsidRPr="00C16BE7" w14:paraId="0F257037" w14:textId="77777777" w:rsidTr="00B90073">
        <w:trPr>
          <w:trHeight w:val="42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71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4644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033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2C9D1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252E4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DC524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30E46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5F8BE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14378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36A8B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B464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14:paraId="13045F0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BE305D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5228B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6AEFDE0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F84614" w:rsidRPr="00C16BE7" w14:paraId="09A45CC7" w14:textId="77777777" w:rsidTr="00B90073">
        <w:trPr>
          <w:trHeight w:val="69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9C5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15FF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B922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куб.метров</w:t>
            </w:r>
            <w:proofErr w:type="spellEnd"/>
            <w:proofErr w:type="gramEnd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7D1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FD2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94A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25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80D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8B069" w14:textId="07A5835B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27,59</w:t>
            </w:r>
          </w:p>
        </w:tc>
      </w:tr>
      <w:tr w:rsidR="00F84614" w:rsidRPr="00C16BE7" w14:paraId="0507D132" w14:textId="77777777" w:rsidTr="00B90073">
        <w:trPr>
          <w:trHeight w:val="45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ED5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94BD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объем потребления воды (холодной) в многоквартирных домах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06A0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6BF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9774,0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1CF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8910,0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522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8910,0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5A6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8910,0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AA90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A101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8910,0</w:t>
            </w:r>
          </w:p>
        </w:tc>
      </w:tr>
      <w:tr w:rsidR="00F84614" w:rsidRPr="00C16BE7" w14:paraId="33D81681" w14:textId="77777777" w:rsidTr="00B90073">
        <w:trPr>
          <w:trHeight w:val="67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1D4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D8D9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многоквартирных домах, которым отпущен соответствующий энергетический ресурс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3D9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512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2A1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CE4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974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C4BA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9CFD0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639E6" w14:textId="4DC51F8F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</w:tbl>
    <w:p w14:paraId="03E42690" w14:textId="77777777" w:rsidR="00F84614" w:rsidRPr="00C16BE7" w:rsidRDefault="00F846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A811AA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Показатели удельной величины потребления природного газа и горячей воды равны "0", так как в районе отсутствуют газоснабжение и горячее водоснабжение.</w:t>
      </w:r>
    </w:p>
    <w:p w14:paraId="6E041951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14:paraId="386E008D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Показатель потребления электроэнергии муниципальными бюджетными учреждениями (40.1) в 2022 году увеличился в связи с проведением ремонтных работ в учреждениях образования и клубной системе.</w:t>
      </w:r>
    </w:p>
    <w:p w14:paraId="6F180613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На период 2023-2025 гг. объем потребления электрической энергии изменится в связи изменением среднегодовой численности постоянного населения. </w:t>
      </w:r>
    </w:p>
    <w:p w14:paraId="07ADF37A" w14:textId="77777777" w:rsidR="00F84614" w:rsidRPr="00C16BE7" w:rsidRDefault="00421914" w:rsidP="001F658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Среднегодовая численность постоянного населения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района на 2022 г. составляет 7934 человек. Площадь учреждений 38359,4 м</w:t>
      </w:r>
      <w:r w:rsidRPr="00C16B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16BE7">
        <w:rPr>
          <w:rFonts w:ascii="Times New Roman" w:hAnsi="Times New Roman" w:cs="Times New Roman"/>
          <w:sz w:val="24"/>
          <w:szCs w:val="24"/>
        </w:rPr>
        <w:t>.</w:t>
      </w:r>
    </w:p>
    <w:p w14:paraId="37624A71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Расшифровка показателя № 40.1</w:t>
      </w: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00"/>
        <w:gridCol w:w="1276"/>
        <w:gridCol w:w="1134"/>
        <w:gridCol w:w="1134"/>
        <w:gridCol w:w="1134"/>
        <w:gridCol w:w="1134"/>
        <w:gridCol w:w="1105"/>
      </w:tblGrid>
      <w:tr w:rsidR="00B90073" w:rsidRPr="00C16BE7" w14:paraId="7017F417" w14:textId="77777777" w:rsidTr="00B90073">
        <w:trPr>
          <w:trHeight w:val="42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909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CBE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DE4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BAE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2021 </w:t>
            </w:r>
          </w:p>
          <w:p w14:paraId="57C8445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DD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824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761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14:paraId="3E198AC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DCB2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6196C53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B90073" w:rsidRPr="00C16BE7" w14:paraId="729F0FC0" w14:textId="77777777" w:rsidTr="00B90073">
        <w:trPr>
          <w:trHeight w:val="70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9E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3A1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AE5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кВт/ч на 1 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45E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404,21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57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414,08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5EF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425,01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17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436,59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48071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20425E" w14:textId="7BB9E155" w:rsidR="00F84614" w:rsidRPr="00C16BE7" w:rsidRDefault="00421914" w:rsidP="00B90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448,57</w:t>
            </w:r>
          </w:p>
        </w:tc>
      </w:tr>
      <w:tr w:rsidR="00B90073" w:rsidRPr="00C16BE7" w14:paraId="275BB435" w14:textId="77777777" w:rsidTr="00B90073">
        <w:trPr>
          <w:trHeight w:val="45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1F6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869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1B7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кВт/ч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702" w14:textId="69FB767C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3639526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98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3285337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4E6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3285337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D31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3285337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B89F29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06F0F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8F1B1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E8E09" w14:textId="63B15223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3285337</w:t>
            </w:r>
          </w:p>
        </w:tc>
      </w:tr>
      <w:tr w:rsidR="00B90073" w:rsidRPr="00C16BE7" w14:paraId="54D85A9B" w14:textId="77777777" w:rsidTr="00B90073">
        <w:trPr>
          <w:trHeight w:val="6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0CE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B85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постоянного населения </w:t>
            </w:r>
            <w:proofErr w:type="spell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A09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A9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C90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7934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00E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DB2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7525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16D70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D248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04EB6" w14:textId="004CD923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7127</w:t>
            </w:r>
          </w:p>
        </w:tc>
      </w:tr>
    </w:tbl>
    <w:p w14:paraId="0B18D8E2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Показатель тепловой энергии (40.2) уменьшился по сравнению с 2021 годом, в связи с исполнением требований Федерального закона, согласно которого муниципальные учреждения обязаны обеспечить ежегодное снижение потребление энергоресурсов. </w:t>
      </w:r>
    </w:p>
    <w:p w14:paraId="4EF6C12F" w14:textId="77777777" w:rsid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Прогнозируемые показатели на 2023-2025 годы останутся на уровне 2022 года, так как не планируется увеличение тепловых мощностей и количества потребителей данного ресурса.</w:t>
      </w:r>
    </w:p>
    <w:p w14:paraId="1BAF9761" w14:textId="5367F28D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Расшифровка показателя № 40.2</w:t>
      </w:r>
    </w:p>
    <w:tbl>
      <w:tblPr>
        <w:tblW w:w="953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714"/>
        <w:gridCol w:w="2042"/>
        <w:gridCol w:w="1276"/>
        <w:gridCol w:w="992"/>
        <w:gridCol w:w="1134"/>
        <w:gridCol w:w="1134"/>
        <w:gridCol w:w="1134"/>
        <w:gridCol w:w="1105"/>
      </w:tblGrid>
      <w:tr w:rsidR="00B90073" w:rsidRPr="00C16BE7" w14:paraId="1F7C6969" w14:textId="77777777" w:rsidTr="00B90073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1D0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9AFF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0A4C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EE89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D074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факт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DDBC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5541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14:paraId="06978DF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2DD22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1BE446C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B90073" w:rsidRPr="00C16BE7" w14:paraId="01A090B4" w14:textId="77777777" w:rsidTr="00B90073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933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FCBE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DC4C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7DD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19C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56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A71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E031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6928B" w14:textId="2434A5CF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</w:tr>
      <w:tr w:rsidR="00B90073" w:rsidRPr="00C16BE7" w14:paraId="44625B9F" w14:textId="77777777" w:rsidTr="00B90073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F15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5F63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объем потребленной тепловой энергии муниципальными учреждениями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558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198D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5277,3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156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4769,92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EE1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4769,92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54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4769,92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859A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06D79" w14:textId="77777777" w:rsidR="00B90073" w:rsidRDefault="00B90073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D16D8" w14:textId="64BD5DB2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4769,92</w:t>
            </w:r>
          </w:p>
        </w:tc>
      </w:tr>
      <w:tr w:rsidR="00B90073" w:rsidRPr="00C16BE7" w14:paraId="401F7FD9" w14:textId="77777777" w:rsidTr="00B90073">
        <w:trPr>
          <w:trHeight w:val="6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C60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615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Площадь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D7203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B42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E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95C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26C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859" w14:textId="77777777" w:rsidR="00F84614" w:rsidRPr="00C16BE7" w:rsidRDefault="00F846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76BC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</w:tr>
    </w:tbl>
    <w:p w14:paraId="137882A6" w14:textId="5F1CF9B9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 xml:space="preserve">Показатель по холодной воде (40.4) в 2022 году увеличился по сравнению с 2021 годом в связи с проведением ремонтных работ в учреждениях образования и зданий клубной системы. Также в муниципальных учреждениях для предотвращения распространения </w:t>
      </w:r>
      <w:proofErr w:type="spellStart"/>
      <w:r w:rsidRPr="00C16BE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16BE7">
        <w:rPr>
          <w:rFonts w:ascii="Times New Roman" w:hAnsi="Times New Roman" w:cs="Times New Roman"/>
          <w:sz w:val="24"/>
          <w:szCs w:val="24"/>
        </w:rPr>
        <w:t xml:space="preserve"> инфекции продолжается проведения дезинфекции и проведения влажной уборки в помещениях.</w:t>
      </w:r>
    </w:p>
    <w:p w14:paraId="1138D37A" w14:textId="10CBCF2E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На период 2022-2025</w:t>
      </w:r>
      <w:r w:rsidR="0031506B">
        <w:rPr>
          <w:rFonts w:ascii="Times New Roman" w:hAnsi="Times New Roman" w:cs="Times New Roman"/>
          <w:sz w:val="24"/>
          <w:szCs w:val="24"/>
        </w:rPr>
        <w:t xml:space="preserve"> гг. </w:t>
      </w:r>
      <w:r w:rsidRPr="00C16BE7">
        <w:rPr>
          <w:rFonts w:ascii="Times New Roman" w:hAnsi="Times New Roman" w:cs="Times New Roman"/>
          <w:sz w:val="24"/>
          <w:szCs w:val="24"/>
        </w:rPr>
        <w:t>объем потребления холодной воды изменится в связи с уменьшением среднегодовой численности постоянного населения.</w:t>
      </w:r>
    </w:p>
    <w:p w14:paraId="4C15B980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Расшифровка показателя № 40.4</w:t>
      </w:r>
    </w:p>
    <w:tbl>
      <w:tblPr>
        <w:tblW w:w="9531" w:type="dxa"/>
        <w:tblInd w:w="216" w:type="dxa"/>
        <w:tblLayout w:type="fixed"/>
        <w:tblLook w:val="0000" w:firstRow="0" w:lastRow="0" w:firstColumn="0" w:lastColumn="0" w:noHBand="0" w:noVBand="0"/>
      </w:tblPr>
      <w:tblGrid>
        <w:gridCol w:w="601"/>
        <w:gridCol w:w="2552"/>
        <w:gridCol w:w="1021"/>
        <w:gridCol w:w="1105"/>
        <w:gridCol w:w="1021"/>
        <w:gridCol w:w="992"/>
        <w:gridCol w:w="1134"/>
        <w:gridCol w:w="1105"/>
      </w:tblGrid>
      <w:tr w:rsidR="00F84614" w:rsidRPr="00C16BE7" w14:paraId="26E70E2C" w14:textId="77777777" w:rsidTr="00E34548">
        <w:trPr>
          <w:trHeight w:val="42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369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D4FEC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B705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D340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  факт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2AC84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     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11CF7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27D8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  <w:p w14:paraId="2BE2438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89E4D7" w14:textId="77777777" w:rsidR="00E34548" w:rsidRDefault="00E34548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5D635" w14:textId="44469333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  <w:p w14:paraId="6C377742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</w:t>
            </w:r>
          </w:p>
        </w:tc>
      </w:tr>
      <w:tr w:rsidR="00F84614" w:rsidRPr="00C16BE7" w14:paraId="45163C33" w14:textId="77777777" w:rsidTr="00E34548">
        <w:trPr>
          <w:trHeight w:val="45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76BE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40.4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318CF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A97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куб.метров</w:t>
            </w:r>
            <w:proofErr w:type="spellEnd"/>
            <w:proofErr w:type="gramEnd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на 1 чел.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4C7D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6D4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10AC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98A3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6C53" w14:textId="63C41F67" w:rsidR="00F84614" w:rsidRPr="00C16BE7" w:rsidRDefault="00F846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126E18" w14:textId="75F5A3A2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</w:tr>
      <w:tr w:rsidR="00F84614" w:rsidRPr="00C16BE7" w14:paraId="3545DCDA" w14:textId="77777777" w:rsidTr="00E34548">
        <w:trPr>
          <w:trHeight w:val="4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543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A58E0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объем потребления воды (холодной) муниципальными учреждениями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0865B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3576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11302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D8FE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5C1F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E8F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20630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765" w14:textId="77777777" w:rsidR="00F84614" w:rsidRPr="00C16BE7" w:rsidRDefault="00F846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ABDF2" w14:textId="30FA07F8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20630</w:t>
            </w:r>
          </w:p>
        </w:tc>
      </w:tr>
      <w:tr w:rsidR="00F84614" w:rsidRPr="00C16BE7" w14:paraId="2C9758DF" w14:textId="77777777" w:rsidTr="00E34548">
        <w:trPr>
          <w:trHeight w:val="67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6C2A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06059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постоянного населения </w:t>
            </w:r>
            <w:proofErr w:type="spellStart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C16BE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D0F0D" w14:textId="77777777" w:rsidR="00F84614" w:rsidRPr="00C16BE7" w:rsidRDefault="00421914" w:rsidP="00C16BE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1B99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9004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8710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396C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816" w14:textId="77777777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7525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5224" w14:textId="77777777" w:rsidR="00F84614" w:rsidRPr="00C16BE7" w:rsidRDefault="00F846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B74BC" w14:textId="77777777" w:rsidR="00E34548" w:rsidRDefault="00E34548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21A3B" w14:textId="6B93694C" w:rsidR="00F84614" w:rsidRPr="00C16BE7" w:rsidRDefault="004219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BE7">
              <w:rPr>
                <w:rFonts w:ascii="Times New Roman" w:hAnsi="Times New Roman" w:cs="Times New Roman"/>
                <w:sz w:val="24"/>
                <w:szCs w:val="24"/>
              </w:rPr>
              <w:t>7324</w:t>
            </w:r>
          </w:p>
          <w:p w14:paraId="2824F352" w14:textId="77777777" w:rsidR="00F84614" w:rsidRPr="00C16BE7" w:rsidRDefault="00F84614" w:rsidP="00E345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3932CF" w14:textId="77777777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6BE7">
        <w:rPr>
          <w:rFonts w:ascii="Times New Roman" w:hAnsi="Times New Roman" w:cs="Times New Roman"/>
          <w:sz w:val="24"/>
          <w:szCs w:val="24"/>
        </w:rPr>
        <w:t>Показатели удельной величины потребления природного газа и горячей воды равны "0", так как в районе отсутствуют газоснабжение и горячее водоснабжение.</w:t>
      </w:r>
    </w:p>
    <w:p w14:paraId="4D0CA4A9" w14:textId="77777777" w:rsidR="00C16BE7" w:rsidRDefault="00C16BE7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AE5D5D" w14:textId="55D0F9D1" w:rsidR="00F84614" w:rsidRPr="00C16BE7" w:rsidRDefault="004219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Независимая оценка</w:t>
      </w:r>
    </w:p>
    <w:p w14:paraId="584084D6" w14:textId="7915CA26" w:rsidR="00F84614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03736A" w14:textId="77777777" w:rsidR="00F84614" w:rsidRPr="00C16BE7" w:rsidRDefault="00421914" w:rsidP="001F658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41. 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</w:t>
      </w:r>
      <w:r w:rsidRPr="00C16BE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</w:t>
      </w:r>
    </w:p>
    <w:p w14:paraId="3C111C6C" w14:textId="77777777" w:rsidR="00F84614" w:rsidRPr="00C16BE7" w:rsidRDefault="00421914" w:rsidP="00C16BE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C16BE7">
        <w:rPr>
          <w:rFonts w:ascii="Times New Roman" w:hAnsi="Times New Roman" w:cs="Times New Roman"/>
          <w:sz w:val="24"/>
          <w:szCs w:val="24"/>
          <w:u w:color="FF0000"/>
        </w:rPr>
        <w:tab/>
        <w:t xml:space="preserve">Независимая оценка качества условий оказания услуг муниципальными учреждениями образования и культуры </w:t>
      </w:r>
      <w:proofErr w:type="spellStart"/>
      <w:r w:rsidRPr="00C16BE7">
        <w:rPr>
          <w:rFonts w:ascii="Times New Roman" w:hAnsi="Times New Roman" w:cs="Times New Roman"/>
          <w:sz w:val="24"/>
          <w:szCs w:val="24"/>
          <w:u w:color="FF0000"/>
        </w:rPr>
        <w:t>Боготольского</w:t>
      </w:r>
      <w:proofErr w:type="spellEnd"/>
      <w:r w:rsidRPr="00C16BE7">
        <w:rPr>
          <w:rFonts w:ascii="Times New Roman" w:hAnsi="Times New Roman" w:cs="Times New Roman"/>
          <w:sz w:val="24"/>
          <w:szCs w:val="24"/>
          <w:u w:color="FF0000"/>
        </w:rPr>
        <w:t xml:space="preserve"> района в 2022 году не проводилась. </w:t>
      </w:r>
    </w:p>
    <w:p w14:paraId="777C1D51" w14:textId="77777777" w:rsidR="00F84614" w:rsidRPr="00C16BE7" w:rsidRDefault="00F84614" w:rsidP="00C16BE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6F7DB491" w14:textId="77777777" w:rsidR="00F84614" w:rsidRDefault="00F84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p w14:paraId="44852087" w14:textId="77777777" w:rsidR="00421914" w:rsidRDefault="00421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u w:color="FF0000"/>
        </w:rPr>
      </w:pPr>
    </w:p>
    <w:sectPr w:rsidR="0042191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E1A2D"/>
    <w:multiLevelType w:val="singleLevel"/>
    <w:tmpl w:val="D93C71FA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DE"/>
    <w:rsid w:val="000C6614"/>
    <w:rsid w:val="000E3106"/>
    <w:rsid w:val="001F6580"/>
    <w:rsid w:val="00312FE6"/>
    <w:rsid w:val="0031506B"/>
    <w:rsid w:val="00421914"/>
    <w:rsid w:val="004918DF"/>
    <w:rsid w:val="00B90073"/>
    <w:rsid w:val="00C16BE7"/>
    <w:rsid w:val="00C277ED"/>
    <w:rsid w:val="00E21146"/>
    <w:rsid w:val="00E25ADE"/>
    <w:rsid w:val="00E34548"/>
    <w:rsid w:val="00F8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4E200"/>
  <w14:defaultImageDpi w14:val="0"/>
  <w15:docId w15:val="{7091D60F-40BC-4F93-B540-2080842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1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7549</Words>
  <Characters>43030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2023-04-25T00:55:00Z</cp:lastPrinted>
  <dcterms:created xsi:type="dcterms:W3CDTF">2023-04-24T09:20:00Z</dcterms:created>
  <dcterms:modified xsi:type="dcterms:W3CDTF">2023-04-25T01:37:00Z</dcterms:modified>
</cp:coreProperties>
</file>