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84" w:rsidRPr="00034F84" w:rsidRDefault="00034F84" w:rsidP="00034F84">
      <w:pPr>
        <w:widowControl w:val="0"/>
        <w:autoSpaceDE w:val="0"/>
        <w:autoSpaceDN w:val="0"/>
        <w:adjustRightInd w:val="0"/>
        <w:spacing w:after="0" w:line="240" w:lineRule="auto"/>
        <w:contextualSpacing/>
        <w:jc w:val="center"/>
        <w:rPr>
          <w:rFonts w:ascii="Times New Roman" w:hAnsi="Times New Roman" w:cs="Times New Roman"/>
          <w:sz w:val="28"/>
          <w:szCs w:val="28"/>
          <w:u w:val="single"/>
        </w:rPr>
      </w:pPr>
      <w:r w:rsidRPr="00034F84">
        <w:rPr>
          <w:rFonts w:ascii="Times New Roman" w:hAnsi="Times New Roman" w:cs="Times New Roman"/>
          <w:b/>
          <w:bCs/>
          <w:sz w:val="28"/>
          <w:szCs w:val="28"/>
          <w:u w:val="single"/>
        </w:rPr>
        <w:t xml:space="preserve">Пояснительная записка к докладу главы  </w:t>
      </w:r>
      <w:proofErr w:type="spellStart"/>
      <w:r w:rsidRPr="00034F84">
        <w:rPr>
          <w:rFonts w:ascii="Times New Roman" w:hAnsi="Times New Roman" w:cs="Times New Roman"/>
          <w:b/>
          <w:bCs/>
          <w:sz w:val="28"/>
          <w:szCs w:val="28"/>
          <w:u w:val="single"/>
        </w:rPr>
        <w:t>Боготольского</w:t>
      </w:r>
      <w:proofErr w:type="spellEnd"/>
      <w:r w:rsidRPr="00034F84">
        <w:rPr>
          <w:rFonts w:ascii="Times New Roman" w:hAnsi="Times New Roman" w:cs="Times New Roman"/>
          <w:b/>
          <w:bCs/>
          <w:sz w:val="28"/>
          <w:szCs w:val="28"/>
          <w:u w:val="single"/>
        </w:rPr>
        <w:t xml:space="preserve"> района</w:t>
      </w:r>
    </w:p>
    <w:p w:rsidR="00034F84" w:rsidRPr="00034F84" w:rsidRDefault="00034F84" w:rsidP="00034F84">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наименование городского округа (муниципального района)</w:t>
      </w:r>
    </w:p>
    <w:p w:rsidR="00034F84" w:rsidRPr="00034F84" w:rsidRDefault="00034F84" w:rsidP="00034F84">
      <w:pPr>
        <w:autoSpaceDE w:val="0"/>
        <w:autoSpaceDN w:val="0"/>
        <w:adjustRightInd w:val="0"/>
        <w:spacing w:after="160" w:line="240" w:lineRule="auto"/>
        <w:contextualSpacing/>
        <w:jc w:val="center"/>
        <w:rPr>
          <w:rFonts w:ascii="Times New Roman" w:hAnsi="Times New Roman" w:cs="Times New Roman"/>
          <w:b/>
          <w:bCs/>
          <w:sz w:val="28"/>
          <w:szCs w:val="28"/>
        </w:rPr>
      </w:pPr>
      <w:r w:rsidRPr="00034F84">
        <w:rPr>
          <w:rFonts w:ascii="Times New Roman" w:hAnsi="Times New Roman" w:cs="Times New Roman"/>
          <w:b/>
          <w:bCs/>
          <w:sz w:val="28"/>
          <w:szCs w:val="28"/>
        </w:rPr>
        <w:t xml:space="preserve">о достигнутых значениях показателей для оценки </w:t>
      </w:r>
      <w:proofErr w:type="gramStart"/>
      <w:r w:rsidRPr="00034F84">
        <w:rPr>
          <w:rFonts w:ascii="Times New Roman" w:hAnsi="Times New Roman" w:cs="Times New Roman"/>
          <w:b/>
          <w:bCs/>
          <w:sz w:val="28"/>
          <w:szCs w:val="28"/>
        </w:rPr>
        <w:t xml:space="preserve">эффективности деятельности органов местного самоуправления </w:t>
      </w:r>
      <w:r w:rsidRPr="00034F84">
        <w:rPr>
          <w:rFonts w:ascii="Times New Roman" w:hAnsi="Times New Roman" w:cs="Times New Roman"/>
          <w:b/>
          <w:bCs/>
          <w:sz w:val="28"/>
          <w:szCs w:val="28"/>
        </w:rPr>
        <w:br/>
        <w:t>городских округов</w:t>
      </w:r>
      <w:proofErr w:type="gramEnd"/>
      <w:r w:rsidRPr="00034F84">
        <w:rPr>
          <w:rFonts w:ascii="Times New Roman" w:hAnsi="Times New Roman" w:cs="Times New Roman"/>
          <w:b/>
          <w:bCs/>
          <w:sz w:val="28"/>
          <w:szCs w:val="28"/>
        </w:rPr>
        <w:t xml:space="preserve"> и муниципальных районов </w:t>
      </w:r>
      <w:r w:rsidRPr="00034F84">
        <w:rPr>
          <w:rFonts w:ascii="Times New Roman" w:hAnsi="Times New Roman" w:cs="Times New Roman"/>
          <w:b/>
          <w:bCs/>
          <w:sz w:val="28"/>
          <w:szCs w:val="28"/>
        </w:rPr>
        <w:br/>
        <w:t>за 2019 год и их планируемых значениях на 3-летний период</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Default="00834B54"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r w:rsidRPr="00034F84">
        <w:rPr>
          <w:rFonts w:ascii="Times New Roman" w:hAnsi="Times New Roman" w:cs="Times New Roman"/>
          <w:b/>
          <w:bCs/>
          <w:color w:val="000000"/>
          <w:sz w:val="28"/>
          <w:szCs w:val="28"/>
        </w:rPr>
        <w:t>I. Экономическое развитие</w:t>
      </w:r>
    </w:p>
    <w:p w:rsidR="001E489E" w:rsidRPr="00034F84" w:rsidRDefault="001E489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proofErr w:type="spellStart"/>
      <w:r w:rsidRPr="00034F84">
        <w:rPr>
          <w:rFonts w:ascii="Times New Roman" w:hAnsi="Times New Roman" w:cs="Times New Roman"/>
          <w:sz w:val="28"/>
          <w:szCs w:val="28"/>
        </w:rPr>
        <w:t>Боготольский</w:t>
      </w:r>
      <w:proofErr w:type="spellEnd"/>
      <w:r w:rsidRPr="00034F84">
        <w:rPr>
          <w:rFonts w:ascii="Times New Roman" w:hAnsi="Times New Roman" w:cs="Times New Roman"/>
          <w:sz w:val="28"/>
          <w:szCs w:val="28"/>
        </w:rPr>
        <w:t xml:space="preserve"> район расположен в западной части Красноярского края, на расстоянии 252 км от краевого центра и граничит на западе с Кемеровской областью, на севере с </w:t>
      </w:r>
      <w:proofErr w:type="spellStart"/>
      <w:r w:rsidRPr="00034F84">
        <w:rPr>
          <w:rFonts w:ascii="Times New Roman" w:hAnsi="Times New Roman" w:cs="Times New Roman"/>
          <w:sz w:val="28"/>
          <w:szCs w:val="28"/>
        </w:rPr>
        <w:t>Тюхтетским</w:t>
      </w:r>
      <w:proofErr w:type="spellEnd"/>
      <w:r w:rsidRPr="00034F84">
        <w:rPr>
          <w:rFonts w:ascii="Times New Roman" w:hAnsi="Times New Roman" w:cs="Times New Roman"/>
          <w:sz w:val="28"/>
          <w:szCs w:val="28"/>
        </w:rPr>
        <w:t xml:space="preserve"> районом, на востоке с </w:t>
      </w:r>
      <w:proofErr w:type="spellStart"/>
      <w:r w:rsidRPr="00034F84">
        <w:rPr>
          <w:rFonts w:ascii="Times New Roman" w:hAnsi="Times New Roman" w:cs="Times New Roman"/>
          <w:sz w:val="28"/>
          <w:szCs w:val="28"/>
        </w:rPr>
        <w:t>Большеулуйским</w:t>
      </w:r>
      <w:proofErr w:type="spellEnd"/>
      <w:r w:rsidRPr="00034F84">
        <w:rPr>
          <w:rFonts w:ascii="Times New Roman" w:hAnsi="Times New Roman" w:cs="Times New Roman"/>
          <w:sz w:val="28"/>
          <w:szCs w:val="28"/>
        </w:rPr>
        <w:t xml:space="preserve"> и </w:t>
      </w:r>
      <w:proofErr w:type="spellStart"/>
      <w:r w:rsidRPr="00034F84">
        <w:rPr>
          <w:rFonts w:ascii="Times New Roman" w:hAnsi="Times New Roman" w:cs="Times New Roman"/>
          <w:sz w:val="28"/>
          <w:szCs w:val="28"/>
        </w:rPr>
        <w:t>Ачинским</w:t>
      </w:r>
      <w:proofErr w:type="spellEnd"/>
      <w:r w:rsidRPr="00034F84">
        <w:rPr>
          <w:rFonts w:ascii="Times New Roman" w:hAnsi="Times New Roman" w:cs="Times New Roman"/>
          <w:sz w:val="28"/>
          <w:szCs w:val="28"/>
        </w:rPr>
        <w:t xml:space="preserve"> районами, на юге с Назаровским районом.</w:t>
      </w: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034F84">
        <w:rPr>
          <w:rFonts w:ascii="Times New Roman" w:hAnsi="Times New Roman" w:cs="Times New Roman"/>
          <w:sz w:val="28"/>
          <w:szCs w:val="28"/>
        </w:rPr>
        <w:t>На территории района  на 01.01.2020 года проживает 9253 чел.</w:t>
      </w: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034F84">
        <w:rPr>
          <w:rFonts w:ascii="Times New Roman" w:hAnsi="Times New Roman" w:cs="Times New Roman"/>
          <w:sz w:val="28"/>
          <w:szCs w:val="28"/>
        </w:rPr>
        <w:t>Административный центр района – город Боготол.</w:t>
      </w: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034F84">
        <w:rPr>
          <w:rFonts w:ascii="Times New Roman" w:hAnsi="Times New Roman" w:cs="Times New Roman"/>
          <w:sz w:val="28"/>
          <w:szCs w:val="28"/>
        </w:rPr>
        <w:t>Всего на территории района восемь сельских поселений с тридцатью восьмью населенными пунктами.</w:t>
      </w:r>
    </w:p>
    <w:p w:rsidR="003D101E" w:rsidRPr="00034F84" w:rsidRDefault="00834B54" w:rsidP="00034F84">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Промышленность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представлена следующими предприятиями:</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-КГУ «</w:t>
      </w:r>
      <w:proofErr w:type="spellStart"/>
      <w:r w:rsidRPr="00034F84">
        <w:rPr>
          <w:rFonts w:ascii="Times New Roman" w:hAnsi="Times New Roman" w:cs="Times New Roman"/>
          <w:sz w:val="28"/>
          <w:szCs w:val="28"/>
        </w:rPr>
        <w:t>Боготольское</w:t>
      </w:r>
      <w:proofErr w:type="spellEnd"/>
      <w:r w:rsidRPr="00034F84">
        <w:rPr>
          <w:rFonts w:ascii="Times New Roman" w:hAnsi="Times New Roman" w:cs="Times New Roman"/>
          <w:sz w:val="28"/>
          <w:szCs w:val="28"/>
        </w:rPr>
        <w:t xml:space="preserve"> лесничество»- заготовка древесины</w:t>
      </w:r>
      <w:proofErr w:type="gramStart"/>
      <w:r w:rsidRPr="00034F84">
        <w:rPr>
          <w:rFonts w:ascii="Times New Roman" w:hAnsi="Times New Roman" w:cs="Times New Roman"/>
          <w:sz w:val="28"/>
          <w:szCs w:val="28"/>
        </w:rPr>
        <w:t xml:space="preserve"> ;</w:t>
      </w:r>
      <w:proofErr w:type="gramEnd"/>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-МУП «РТЭК» - услуги теплоснабжения, вывоз жидких бытовых отходов;</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-МКП «Услуга» - услуги водоснабжения;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-АО «</w:t>
      </w:r>
      <w:proofErr w:type="spellStart"/>
      <w:r w:rsidRPr="00034F84">
        <w:rPr>
          <w:rFonts w:ascii="Times New Roman" w:hAnsi="Times New Roman" w:cs="Times New Roman"/>
          <w:sz w:val="28"/>
          <w:szCs w:val="28"/>
        </w:rPr>
        <w:t>Транснефть</w:t>
      </w:r>
      <w:proofErr w:type="spellEnd"/>
      <w:proofErr w:type="gramStart"/>
      <w:r w:rsidRPr="00034F84">
        <w:rPr>
          <w:rFonts w:ascii="Times New Roman" w:hAnsi="Times New Roman" w:cs="Times New Roman"/>
          <w:sz w:val="28"/>
          <w:szCs w:val="28"/>
        </w:rPr>
        <w:t>»-</w:t>
      </w:r>
      <w:proofErr w:type="gramEnd"/>
      <w:r w:rsidRPr="00034F84">
        <w:rPr>
          <w:rFonts w:ascii="Times New Roman" w:hAnsi="Times New Roman" w:cs="Times New Roman"/>
          <w:sz w:val="28"/>
          <w:szCs w:val="28"/>
        </w:rPr>
        <w:t>Западная Сибирь - услуги теплоснабжения, услуги водоснабжения.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Сельскохозяйственное производство сосредоточено в 4 сельскохозяйственных предприятиях, 3 кооперативах, 10 крестьянских фермерских хозяйствах, зарегистрированных в реестре субъектов агропромышленного комплекса, а также в личных подсобных хозяйствах района.</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b/>
          <w:bCs/>
          <w:color w:val="000000"/>
          <w:sz w:val="28"/>
          <w:szCs w:val="28"/>
        </w:rPr>
        <w:t>1. Число субъектов малого и среднего предпринимательства</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На 01.01.2020 года в </w:t>
      </w:r>
      <w:proofErr w:type="spellStart"/>
      <w:r w:rsidRPr="00034F84">
        <w:rPr>
          <w:rFonts w:ascii="Times New Roman" w:hAnsi="Times New Roman" w:cs="Times New Roman"/>
          <w:sz w:val="28"/>
          <w:szCs w:val="28"/>
        </w:rPr>
        <w:t>Боготольском</w:t>
      </w:r>
      <w:proofErr w:type="spellEnd"/>
      <w:r w:rsidRPr="00034F84">
        <w:rPr>
          <w:rFonts w:ascii="Times New Roman" w:hAnsi="Times New Roman" w:cs="Times New Roman"/>
          <w:sz w:val="28"/>
          <w:szCs w:val="28"/>
        </w:rPr>
        <w:t xml:space="preserve"> районе состоит на учете 108 субъектов малого предпринимательства, в том числе 92 индивидуальных предпринимателя и 16 юридических лиц.</w:t>
      </w:r>
    </w:p>
    <w:p w:rsidR="003D101E" w:rsidRPr="00034F84" w:rsidRDefault="00834B54" w:rsidP="00034F84">
      <w:pPr>
        <w:autoSpaceDE w:val="0"/>
        <w:autoSpaceDN w:val="0"/>
        <w:adjustRightInd w:val="0"/>
        <w:spacing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В 2019 году число субъектов малого и среднего предпринимательства на 10000 человек населения снизилось по сравнению с 2018 годом и составило 116,72. Показатель снизился за счет снятия с регистрационного учета субъектов</w:t>
      </w:r>
      <w:r w:rsidRPr="00034F84">
        <w:rPr>
          <w:rFonts w:ascii="Times New Roman" w:hAnsi="Times New Roman" w:cs="Times New Roman"/>
          <w:color w:val="000000"/>
          <w:sz w:val="28"/>
          <w:szCs w:val="28"/>
        </w:rPr>
        <w:t xml:space="preserve"> </w:t>
      </w:r>
      <w:r w:rsidRPr="00034F84">
        <w:rPr>
          <w:rFonts w:ascii="Times New Roman" w:hAnsi="Times New Roman" w:cs="Times New Roman"/>
          <w:sz w:val="28"/>
          <w:szCs w:val="28"/>
        </w:rPr>
        <w:t>малого и среднего предпринимательства. В основном – это СМСП, занимающееся торговлей. М</w:t>
      </w:r>
      <w:r w:rsidRPr="00034F84">
        <w:rPr>
          <w:rFonts w:ascii="Times New Roman" w:hAnsi="Times New Roman" w:cs="Times New Roman"/>
          <w:sz w:val="28"/>
          <w:szCs w:val="28"/>
          <w:highlight w:val="white"/>
        </w:rPr>
        <w:t xml:space="preserve">естные индивидуальные предприниматели не выдерживают конкуренции с крупными торговыми объектами - на территории г. Боготола осуществляют торговлю три крупных магазина - </w:t>
      </w:r>
      <w:proofErr w:type="spellStart"/>
      <w:r w:rsidRPr="00034F84">
        <w:rPr>
          <w:rFonts w:ascii="Times New Roman" w:hAnsi="Times New Roman" w:cs="Times New Roman"/>
          <w:sz w:val="28"/>
          <w:szCs w:val="28"/>
          <w:highlight w:val="white"/>
        </w:rPr>
        <w:t>дискаунтера</w:t>
      </w:r>
      <w:proofErr w:type="spellEnd"/>
      <w:r w:rsidRPr="00034F84">
        <w:rPr>
          <w:rFonts w:ascii="Times New Roman" w:hAnsi="Times New Roman" w:cs="Times New Roman"/>
          <w:sz w:val="28"/>
          <w:szCs w:val="28"/>
          <w:highlight w:val="white"/>
        </w:rPr>
        <w:t xml:space="preserve">, </w:t>
      </w:r>
      <w:proofErr w:type="gramStart"/>
      <w:r w:rsidRPr="00034F84">
        <w:rPr>
          <w:rFonts w:ascii="Times New Roman" w:hAnsi="Times New Roman" w:cs="Times New Roman"/>
          <w:sz w:val="28"/>
          <w:szCs w:val="28"/>
          <w:highlight w:val="white"/>
        </w:rPr>
        <w:lastRenderedPageBreak/>
        <w:t>следовательно</w:t>
      </w:r>
      <w:proofErr w:type="gramEnd"/>
      <w:r w:rsidRPr="00034F84">
        <w:rPr>
          <w:rFonts w:ascii="Times New Roman" w:hAnsi="Times New Roman" w:cs="Times New Roman"/>
          <w:sz w:val="28"/>
          <w:szCs w:val="28"/>
          <w:highlight w:val="white"/>
        </w:rPr>
        <w:t xml:space="preserve"> сельское население периодически приобретает товары в г. Боготоле по более выгодным ценам.</w:t>
      </w:r>
      <w:r w:rsidRPr="00034F84">
        <w:rPr>
          <w:rFonts w:ascii="Times New Roman" w:hAnsi="Times New Roman" w:cs="Times New Roman"/>
          <w:sz w:val="28"/>
          <w:szCs w:val="28"/>
        </w:rPr>
        <w:t xml:space="preserve"> С целью создания благоприятных условий для устойчивого развития малого и среднего предпринимательства в </w:t>
      </w:r>
      <w:proofErr w:type="spellStart"/>
      <w:r w:rsidRPr="00034F84">
        <w:rPr>
          <w:rFonts w:ascii="Times New Roman" w:hAnsi="Times New Roman" w:cs="Times New Roman"/>
          <w:sz w:val="28"/>
          <w:szCs w:val="28"/>
        </w:rPr>
        <w:t>Боготольском</w:t>
      </w:r>
      <w:proofErr w:type="spellEnd"/>
      <w:r w:rsidRPr="00034F84">
        <w:rPr>
          <w:rFonts w:ascii="Times New Roman" w:hAnsi="Times New Roman" w:cs="Times New Roman"/>
          <w:sz w:val="28"/>
          <w:szCs w:val="28"/>
        </w:rPr>
        <w:t xml:space="preserve"> районе, в 2019 году продолжала  реализацию муниципальная программа «Развитие субъектов малого и среднего предпринимательства и инвестиционной деятельности в </w:t>
      </w:r>
      <w:proofErr w:type="spellStart"/>
      <w:r w:rsidRPr="00034F84">
        <w:rPr>
          <w:rFonts w:ascii="Times New Roman" w:hAnsi="Times New Roman" w:cs="Times New Roman"/>
          <w:sz w:val="28"/>
          <w:szCs w:val="28"/>
        </w:rPr>
        <w:t>Боготольском</w:t>
      </w:r>
      <w:proofErr w:type="spellEnd"/>
      <w:r w:rsidRPr="00034F84">
        <w:rPr>
          <w:rFonts w:ascii="Times New Roman" w:hAnsi="Times New Roman" w:cs="Times New Roman"/>
          <w:sz w:val="28"/>
          <w:szCs w:val="28"/>
        </w:rPr>
        <w:t xml:space="preserve"> районе». </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С целью поддержки малого бизнеса:</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 сформирован перечень муниципального имущества, предназначенного для возможного использования малым бизнесом из 13 объектов общей площадью 1014,3 кв. метров, </w:t>
      </w: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 на 2019 год было изменено  значение коэффициента базовой доходности К</w:t>
      </w:r>
      <w:proofErr w:type="gramStart"/>
      <w:r w:rsidRPr="00034F84">
        <w:rPr>
          <w:rFonts w:ascii="Times New Roman" w:hAnsi="Times New Roman" w:cs="Times New Roman"/>
          <w:sz w:val="28"/>
          <w:szCs w:val="28"/>
        </w:rPr>
        <w:t>2</w:t>
      </w:r>
      <w:proofErr w:type="gramEnd"/>
      <w:r w:rsidRPr="00034F84">
        <w:rPr>
          <w:rFonts w:ascii="Times New Roman" w:hAnsi="Times New Roman" w:cs="Times New Roman"/>
          <w:sz w:val="28"/>
          <w:szCs w:val="28"/>
        </w:rPr>
        <w:t>, используемое при исчислении налоговой базы по ЕНВД.</w:t>
      </w: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Для оказания консультационной поддержки субъектам МСП и физическим лицам, планирующим заниматься предпринимательством, через Центр «Одно окно» за 2019 год было оказано 205 консультационных услуг. Проводилось консультирование по вопросам ведения предпринимательской деятельности, составлении бизнес-планов, оказания финансово-кредитной поддержки и др.</w:t>
      </w:r>
    </w:p>
    <w:p w:rsidR="003D101E" w:rsidRPr="00034F84" w:rsidRDefault="00834B54" w:rsidP="00034F84">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Для сохранения и увеличения количества СМСП в 2020-2022 гг. необходимо продолжать в рамках реализации  муниципальной программы «Развитие субъектов малого и среднего предпринимательства и инвестиционной деятельности в </w:t>
      </w:r>
      <w:proofErr w:type="spellStart"/>
      <w:r w:rsidRPr="00034F84">
        <w:rPr>
          <w:rFonts w:ascii="Times New Roman" w:hAnsi="Times New Roman" w:cs="Times New Roman"/>
          <w:sz w:val="28"/>
          <w:szCs w:val="28"/>
        </w:rPr>
        <w:t>Боготольском</w:t>
      </w:r>
      <w:proofErr w:type="spellEnd"/>
      <w:r w:rsidRPr="00034F84">
        <w:rPr>
          <w:rFonts w:ascii="Times New Roman" w:hAnsi="Times New Roman" w:cs="Times New Roman"/>
          <w:sz w:val="28"/>
          <w:szCs w:val="28"/>
        </w:rPr>
        <w:t xml:space="preserve"> районе» предоставление информационной, консультационной и финансовой поддержки как действующим субъектам МСП, так и физическим лицам.</w:t>
      </w:r>
    </w:p>
    <w:p w:rsidR="003D101E" w:rsidRPr="00034F84" w:rsidRDefault="00834B54" w:rsidP="00034F84">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К 2022 число субъектов малого и среднего предпринимательства на 10000 человек населения составит 123,84  единиц.</w:t>
      </w:r>
    </w:p>
    <w:p w:rsidR="003D101E" w:rsidRPr="00034F84" w:rsidRDefault="00834B54" w:rsidP="001E489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Среднесписочная численность работников организаций малого бизнеса (юридических лиц) составляет 84 человек. Снижение численности по сравнению с 2018 годом составило 54 чел</w:t>
      </w:r>
      <w:proofErr w:type="gramStart"/>
      <w:r w:rsidRPr="00034F84">
        <w:rPr>
          <w:rFonts w:ascii="Times New Roman" w:hAnsi="Times New Roman" w:cs="Times New Roman"/>
          <w:sz w:val="28"/>
          <w:szCs w:val="28"/>
        </w:rPr>
        <w:t>.(</w:t>
      </w:r>
      <w:proofErr w:type="gramEnd"/>
      <w:r w:rsidRPr="00034F84">
        <w:rPr>
          <w:rFonts w:ascii="Times New Roman" w:hAnsi="Times New Roman" w:cs="Times New Roman"/>
          <w:sz w:val="28"/>
          <w:szCs w:val="28"/>
        </w:rPr>
        <w:t xml:space="preserve"> на 39,2%). Среднесписочная численность работников у индивидуальных предпринимателей составляет 76 человек или на 29 чел (на 27,6 %) ниже 2018 года. Среднесписочная численность работников крестьянских (фермерских) хозяйств в отчетном периоде составила 24 человека. </w:t>
      </w:r>
    </w:p>
    <w:p w:rsidR="003D101E"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2019 году д</w:t>
      </w:r>
      <w:r w:rsidRPr="00034F84">
        <w:rPr>
          <w:rFonts w:ascii="Times New Roman" w:hAnsi="Times New Roman" w:cs="Times New Roman"/>
          <w:color w:val="000000"/>
          <w:sz w:val="28"/>
          <w:szCs w:val="28"/>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034F84">
        <w:rPr>
          <w:rFonts w:ascii="Times New Roman" w:hAnsi="Times New Roman" w:cs="Times New Roman"/>
          <w:sz w:val="28"/>
          <w:szCs w:val="28"/>
        </w:rPr>
        <w:t xml:space="preserve"> составила 20,47 %.</w:t>
      </w:r>
    </w:p>
    <w:p w:rsidR="00034F84" w:rsidRDefault="00034F84" w:rsidP="00034F84">
      <w:pPr>
        <w:autoSpaceDE w:val="0"/>
        <w:autoSpaceDN w:val="0"/>
        <w:adjustRightInd w:val="0"/>
        <w:spacing w:line="240" w:lineRule="auto"/>
        <w:contextualSpacing/>
        <w:jc w:val="both"/>
        <w:rPr>
          <w:rFonts w:ascii="Times New Roman" w:hAnsi="Times New Roman" w:cs="Times New Roman"/>
          <w:sz w:val="28"/>
          <w:szCs w:val="28"/>
        </w:rPr>
      </w:pPr>
    </w:p>
    <w:p w:rsidR="001E489E" w:rsidRDefault="001E489E" w:rsidP="00034F84">
      <w:pPr>
        <w:autoSpaceDE w:val="0"/>
        <w:autoSpaceDN w:val="0"/>
        <w:adjustRightInd w:val="0"/>
        <w:spacing w:line="240" w:lineRule="auto"/>
        <w:contextualSpacing/>
        <w:jc w:val="both"/>
        <w:rPr>
          <w:rFonts w:ascii="Times New Roman" w:hAnsi="Times New Roman" w:cs="Times New Roman"/>
          <w:sz w:val="28"/>
          <w:szCs w:val="28"/>
        </w:rPr>
      </w:pPr>
    </w:p>
    <w:p w:rsidR="001E489E" w:rsidRDefault="001E489E" w:rsidP="00034F84">
      <w:pPr>
        <w:autoSpaceDE w:val="0"/>
        <w:autoSpaceDN w:val="0"/>
        <w:adjustRightInd w:val="0"/>
        <w:spacing w:line="240" w:lineRule="auto"/>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94"/>
        <w:gridCol w:w="1135"/>
        <w:gridCol w:w="1135"/>
        <w:gridCol w:w="1129"/>
        <w:gridCol w:w="1418"/>
        <w:gridCol w:w="1278"/>
      </w:tblGrid>
      <w:tr w:rsidR="003D101E" w:rsidRPr="00034F84">
        <w:trPr>
          <w:trHeight w:val="296"/>
        </w:trPr>
        <w:tc>
          <w:tcPr>
            <w:tcW w:w="3794" w:type="dxa"/>
            <w:vMerge w:val="restart"/>
            <w:tcBorders>
              <w:top w:val="single" w:sz="4" w:space="0" w:color="auto"/>
              <w:bottom w:val="nil"/>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Наименование показателя</w:t>
            </w:r>
          </w:p>
        </w:tc>
        <w:tc>
          <w:tcPr>
            <w:tcW w:w="6095" w:type="dxa"/>
            <w:gridSpan w:val="5"/>
            <w:tcBorders>
              <w:top w:val="single" w:sz="4" w:space="0" w:color="auto"/>
              <w:left w:val="nil"/>
              <w:bottom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Значения показателя</w:t>
            </w:r>
          </w:p>
        </w:tc>
      </w:tr>
      <w:tr w:rsidR="003D101E" w:rsidRPr="00034F84">
        <w:trPr>
          <w:trHeight w:val="627"/>
        </w:trPr>
        <w:tc>
          <w:tcPr>
            <w:tcW w:w="3794" w:type="dxa"/>
            <w:vMerge/>
            <w:tcBorders>
              <w:top w:val="nil"/>
              <w:bottom w:val="single" w:sz="4" w:space="0" w:color="auto"/>
              <w:right w:val="single" w:sz="4" w:space="0" w:color="auto"/>
            </w:tcBorders>
            <w:vAlign w:val="center"/>
          </w:tcPr>
          <w:p w:rsidR="003D101E" w:rsidRPr="00034F84" w:rsidRDefault="003D101E" w:rsidP="00034F84">
            <w:pPr>
              <w:autoSpaceDE w:val="0"/>
              <w:autoSpaceDN w:val="0"/>
              <w:adjustRightInd w:val="0"/>
              <w:spacing w:line="240" w:lineRule="auto"/>
              <w:contextualSpacing/>
              <w:jc w:val="both"/>
              <w:rPr>
                <w:rFonts w:ascii="Times New Roman" w:hAnsi="Times New Roman" w:cs="Times New Roman"/>
                <w:sz w:val="28"/>
                <w:szCs w:val="28"/>
              </w:rPr>
            </w:pP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2018 факт</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2019 факт</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2020 оценка</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2021 прогноз</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2022 прогноз</w:t>
            </w:r>
          </w:p>
        </w:tc>
      </w:tr>
      <w:tr w:rsidR="003D101E" w:rsidRPr="00034F84">
        <w:trPr>
          <w:trHeight w:val="282"/>
        </w:trPr>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1. Количество малых и </w:t>
            </w:r>
            <w:proofErr w:type="spellStart"/>
            <w:r w:rsidRPr="00034F84">
              <w:rPr>
                <w:rFonts w:ascii="Times New Roman" w:hAnsi="Times New Roman" w:cs="Times New Roman"/>
                <w:sz w:val="28"/>
                <w:szCs w:val="28"/>
              </w:rPr>
              <w:t>микропредприятий</w:t>
            </w:r>
            <w:proofErr w:type="spellEnd"/>
            <w:r w:rsidRPr="00034F84">
              <w:rPr>
                <w:rFonts w:ascii="Times New Roman" w:hAnsi="Times New Roman" w:cs="Times New Roman"/>
                <w:sz w:val="28"/>
                <w:szCs w:val="28"/>
              </w:rPr>
              <w:t>, ед.</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19</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15</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15</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15</w:t>
            </w:r>
          </w:p>
        </w:tc>
      </w:tr>
      <w:tr w:rsidR="003D101E" w:rsidRPr="00034F84">
        <w:trPr>
          <w:trHeight w:val="295"/>
        </w:trPr>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 Количество средних предприятий, ед.</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3. Количество индивидуальных предпринимателей, ед.</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73</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76</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77</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78</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80</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4.Количество крестьянско-фермерских хозяйств, ед.</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21</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16</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16</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16</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5. Численность постоянного населения муниципального образования на конец отчетного года, чел.</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9487</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9253</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9168</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9097</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9044</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6. Число субъектов малого и среднего предпринимательства, ед. на 10 000 чел. </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119,11</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116,72</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118,89</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120,92</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123,84</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7. Среднесписочная численность работников малых и </w:t>
            </w:r>
            <w:proofErr w:type="spellStart"/>
            <w:r w:rsidRPr="00034F84">
              <w:rPr>
                <w:rFonts w:ascii="Times New Roman" w:hAnsi="Times New Roman" w:cs="Times New Roman"/>
                <w:sz w:val="28"/>
                <w:szCs w:val="28"/>
              </w:rPr>
              <w:t>микропредприятий</w:t>
            </w:r>
            <w:proofErr w:type="spellEnd"/>
            <w:r w:rsidRPr="00034F84">
              <w:rPr>
                <w:rFonts w:ascii="Times New Roman" w:hAnsi="Times New Roman" w:cs="Times New Roman"/>
                <w:sz w:val="28"/>
                <w:szCs w:val="28"/>
              </w:rPr>
              <w:t>, чел.</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129</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84</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80</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76</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70</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8.Среднесписочная численность работников </w:t>
            </w:r>
            <w:r w:rsidRPr="00034F84">
              <w:rPr>
                <w:rFonts w:ascii="Times New Roman" w:hAnsi="Times New Roman" w:cs="Times New Roman"/>
                <w:sz w:val="28"/>
                <w:szCs w:val="28"/>
              </w:rPr>
              <w:br/>
              <w:t>у индивидуальных предпринимателей (наемных работников), чел.</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105</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76</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64</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60</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60</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9. Среднесписочная численность работников </w:t>
            </w:r>
            <w:r w:rsidRPr="00034F84">
              <w:rPr>
                <w:rFonts w:ascii="Times New Roman" w:hAnsi="Times New Roman" w:cs="Times New Roman"/>
                <w:sz w:val="28"/>
                <w:szCs w:val="28"/>
              </w:rPr>
              <w:br/>
              <w:t>в крестьянско-фермерских хозяйствах, чел.</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21</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24</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24</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24</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10. Среднесписочная численность работников средних предприятий, чел.</w:t>
            </w:r>
          </w:p>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5</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5</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5</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11. Среднесписочная численность работников </w:t>
            </w:r>
            <w:r w:rsidRPr="00034F84">
              <w:rPr>
                <w:rFonts w:ascii="Times New Roman" w:hAnsi="Times New Roman" w:cs="Times New Roman"/>
                <w:sz w:val="28"/>
                <w:szCs w:val="28"/>
              </w:rPr>
              <w:br/>
              <w:t xml:space="preserve">(без внешних совместителей) </w:t>
            </w:r>
            <w:r w:rsidRPr="00034F84">
              <w:rPr>
                <w:rFonts w:ascii="Times New Roman" w:hAnsi="Times New Roman" w:cs="Times New Roman"/>
                <w:sz w:val="28"/>
                <w:szCs w:val="28"/>
              </w:rPr>
              <w:lastRenderedPageBreak/>
              <w:t xml:space="preserve">крупных и средних предприятий и некоммерческих организаций (без субъектов малого предпринимательства), чел. </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1133</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1097</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1088</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1076</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1064</w:t>
            </w:r>
          </w:p>
        </w:tc>
      </w:tr>
      <w:tr w:rsidR="003D101E" w:rsidRPr="00034F84">
        <w:tc>
          <w:tcPr>
            <w:tcW w:w="3794"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lastRenderedPageBreak/>
              <w:t xml:space="preserve">12.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23,55</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20,47</w:t>
            </w:r>
          </w:p>
        </w:tc>
        <w:tc>
          <w:tcPr>
            <w:tcW w:w="1129"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19,72</w:t>
            </w:r>
          </w:p>
        </w:tc>
        <w:tc>
          <w:tcPr>
            <w:tcW w:w="141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19,47</w:t>
            </w:r>
          </w:p>
        </w:tc>
        <w:tc>
          <w:tcPr>
            <w:tcW w:w="1278"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19,40</w:t>
            </w:r>
          </w:p>
        </w:tc>
      </w:tr>
    </w:tbl>
    <w:p w:rsidR="001E489E"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r>
    </w:p>
    <w:p w:rsidR="003D101E" w:rsidRPr="00034F84" w:rsidRDefault="001E489E" w:rsidP="00034F84">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34B54" w:rsidRPr="00034F84">
        <w:rPr>
          <w:rFonts w:ascii="Times New Roman" w:hAnsi="Times New Roman" w:cs="Times New Roman"/>
          <w:sz w:val="28"/>
          <w:szCs w:val="28"/>
        </w:rPr>
        <w:t xml:space="preserve">В течение 2019 года проводилась работа по снижению неформальной </w:t>
      </w:r>
      <w:proofErr w:type="gramStart"/>
      <w:r w:rsidR="00834B54" w:rsidRPr="00034F84">
        <w:rPr>
          <w:rFonts w:ascii="Times New Roman" w:hAnsi="Times New Roman" w:cs="Times New Roman"/>
          <w:sz w:val="28"/>
          <w:szCs w:val="28"/>
        </w:rPr>
        <w:t>занятости</w:t>
      </w:r>
      <w:proofErr w:type="gramEnd"/>
      <w:r w:rsidR="00834B54" w:rsidRPr="00034F84">
        <w:rPr>
          <w:rFonts w:ascii="Times New Roman" w:hAnsi="Times New Roman" w:cs="Times New Roman"/>
          <w:sz w:val="28"/>
          <w:szCs w:val="28"/>
        </w:rPr>
        <w:t xml:space="preserve"> как  с юридическими лицами, так и с индивидуальными предпринимателями.</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планируемом периоде 2020-2022 гг. первостепенная цель - минимизировать снижение количества наемных работников путем легализации трудовых отношений.</w:t>
      </w:r>
    </w:p>
    <w:p w:rsidR="003D101E" w:rsidRPr="00034F84" w:rsidRDefault="00034F84" w:rsidP="00034F84">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00834B54" w:rsidRPr="00034F84">
        <w:rPr>
          <w:rFonts w:ascii="Times New Roman" w:hAnsi="Times New Roman" w:cs="Times New Roman"/>
          <w:sz w:val="28"/>
          <w:szCs w:val="28"/>
        </w:rPr>
        <w:t xml:space="preserve">оздание благоприятных условий для ведения бизнеса  повысит желание </w:t>
      </w:r>
      <w:proofErr w:type="spellStart"/>
      <w:r w:rsidR="00834B54" w:rsidRPr="00034F84">
        <w:rPr>
          <w:rFonts w:ascii="Times New Roman" w:hAnsi="Times New Roman" w:cs="Times New Roman"/>
          <w:sz w:val="28"/>
          <w:szCs w:val="28"/>
        </w:rPr>
        <w:t>самозанятых</w:t>
      </w:r>
      <w:proofErr w:type="spellEnd"/>
      <w:r w:rsidR="00834B54" w:rsidRPr="00034F84">
        <w:rPr>
          <w:rFonts w:ascii="Times New Roman" w:hAnsi="Times New Roman" w:cs="Times New Roman"/>
          <w:sz w:val="28"/>
          <w:szCs w:val="28"/>
        </w:rPr>
        <w:t xml:space="preserve"> граждан зарегистрировать свою предпринимательскую деятельность.</w:t>
      </w:r>
    </w:p>
    <w:p w:rsidR="003D101E" w:rsidRPr="00034F84" w:rsidRDefault="00834B54" w:rsidP="001E489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b/>
          <w:bCs/>
          <w:color w:val="000000"/>
          <w:sz w:val="28"/>
          <w:szCs w:val="28"/>
        </w:rPr>
        <w:t>3. Объем инвестиций в основной капитал (за исключением бюджетных средств) в расчете на 1 человека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2019 году объем инвестиций в основной капитал, направленный на развитие экономики и социальной сферы составил 148363 тыс. руб., в том числе за счет бюджетных средств 11851 тыс. руб.</w:t>
      </w:r>
    </w:p>
    <w:p w:rsidR="003D101E" w:rsidRPr="00034F84" w:rsidRDefault="00834B54" w:rsidP="00034F84">
      <w:pPr>
        <w:widowControl w:val="0"/>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Инвестиции НПС Каштан на содержание линии нефтепровода, проходящего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составили 130860 тыс</w:t>
      </w:r>
      <w:proofErr w:type="gramStart"/>
      <w:r w:rsidRPr="00034F84">
        <w:rPr>
          <w:rFonts w:ascii="Times New Roman" w:hAnsi="Times New Roman" w:cs="Times New Roman"/>
          <w:sz w:val="28"/>
          <w:szCs w:val="28"/>
        </w:rPr>
        <w:t>.р</w:t>
      </w:r>
      <w:proofErr w:type="gramEnd"/>
      <w:r w:rsidRPr="00034F84">
        <w:rPr>
          <w:rFonts w:ascii="Times New Roman" w:hAnsi="Times New Roman" w:cs="Times New Roman"/>
          <w:sz w:val="28"/>
          <w:szCs w:val="28"/>
        </w:rPr>
        <w:t>уб. или 88,2 % от общей суммы. Остальная часть инвестиций  приходится на  муниципальные учреждения района.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По сравнению с 2018г.   инвестиций по отрасли «Транспорт» снизилась на 81%, в связи с завершением работ по реконструкции линии нефтепровода, проходящего по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На 2020-2022гг.  остается плановое обслуживание линии нефтепровода.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Объем инвестиций за счет всех источников финансирования (без субъектов малого предпринимательства) в 2020 году составит 153852 тыс</w:t>
      </w:r>
      <w:proofErr w:type="gramStart"/>
      <w:r w:rsidRPr="00034F84">
        <w:rPr>
          <w:rFonts w:ascii="Times New Roman" w:hAnsi="Times New Roman" w:cs="Times New Roman"/>
          <w:sz w:val="28"/>
          <w:szCs w:val="28"/>
        </w:rPr>
        <w:t>.р</w:t>
      </w:r>
      <w:proofErr w:type="gramEnd"/>
      <w:r w:rsidRPr="00034F84">
        <w:rPr>
          <w:rFonts w:ascii="Times New Roman" w:hAnsi="Times New Roman" w:cs="Times New Roman"/>
          <w:sz w:val="28"/>
          <w:szCs w:val="28"/>
        </w:rPr>
        <w:t>уб., в 2021 году  159699 тыс.руб.,</w:t>
      </w:r>
      <w:r w:rsidR="001E489E">
        <w:rPr>
          <w:rFonts w:ascii="Times New Roman" w:hAnsi="Times New Roman" w:cs="Times New Roman"/>
          <w:sz w:val="28"/>
          <w:szCs w:val="28"/>
        </w:rPr>
        <w:t xml:space="preserve"> </w:t>
      </w:r>
      <w:r w:rsidRPr="00034F84">
        <w:rPr>
          <w:rFonts w:ascii="Times New Roman" w:hAnsi="Times New Roman" w:cs="Times New Roman"/>
          <w:sz w:val="28"/>
          <w:szCs w:val="28"/>
        </w:rPr>
        <w:t>в 2022 году 165767 тыс.руб.</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ab/>
        <w:t>Объем инвестиций в основной капитал (за исключением бюджетных средств) в расчете на 1 человека населения в 2019 году составил 14569,05 руб</w:t>
      </w:r>
      <w:proofErr w:type="gramStart"/>
      <w:r w:rsidRPr="00034F84">
        <w:rPr>
          <w:rFonts w:ascii="Times New Roman" w:hAnsi="Times New Roman" w:cs="Times New Roman"/>
          <w:sz w:val="28"/>
          <w:szCs w:val="28"/>
        </w:rPr>
        <w:t>.О</w:t>
      </w:r>
      <w:proofErr w:type="gramEnd"/>
      <w:r w:rsidRPr="00034F84">
        <w:rPr>
          <w:rFonts w:ascii="Times New Roman" w:hAnsi="Times New Roman" w:cs="Times New Roman"/>
          <w:sz w:val="28"/>
          <w:szCs w:val="28"/>
        </w:rPr>
        <w:t>жидаемое значение в 2020 году 15368,9 руб., в 2021 г. 16089,24 руб., в 2022 году  16814,68 руб.</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 Объем инвестиций за счет бюджетных средств увеличился по сравнению с 2018 г. на 65,8% и составил в 2019 году 11851 тыс</w:t>
      </w:r>
      <w:proofErr w:type="gramStart"/>
      <w:r w:rsidRPr="00034F84">
        <w:rPr>
          <w:rFonts w:ascii="Times New Roman" w:hAnsi="Times New Roman" w:cs="Times New Roman"/>
          <w:sz w:val="28"/>
          <w:szCs w:val="28"/>
        </w:rPr>
        <w:t>.р</w:t>
      </w:r>
      <w:proofErr w:type="gramEnd"/>
      <w:r w:rsidRPr="00034F84">
        <w:rPr>
          <w:rFonts w:ascii="Times New Roman" w:hAnsi="Times New Roman" w:cs="Times New Roman"/>
          <w:sz w:val="28"/>
          <w:szCs w:val="28"/>
        </w:rPr>
        <w:t xml:space="preserve">уб. К 2022 году рост составит 11,7% относительно 2019 года. </w:t>
      </w:r>
      <w:proofErr w:type="spellStart"/>
      <w:r w:rsidRPr="00034F84">
        <w:rPr>
          <w:rFonts w:ascii="Times New Roman" w:hAnsi="Times New Roman" w:cs="Times New Roman"/>
          <w:sz w:val="28"/>
          <w:szCs w:val="28"/>
        </w:rPr>
        <w:t>Оснавная</w:t>
      </w:r>
      <w:proofErr w:type="spellEnd"/>
      <w:r w:rsidRPr="00034F84">
        <w:rPr>
          <w:rFonts w:ascii="Times New Roman" w:hAnsi="Times New Roman" w:cs="Times New Roman"/>
          <w:sz w:val="28"/>
          <w:szCs w:val="28"/>
        </w:rPr>
        <w:t xml:space="preserve"> доля инвестиции приходится на отрасли "Культура" и "Образование".</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Действующих инвестиционных проектов на территории района нет.</w:t>
      </w:r>
    </w:p>
    <w:p w:rsidR="003D101E" w:rsidRPr="00034F84" w:rsidRDefault="003D101E" w:rsidP="00034F84">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1134"/>
        <w:gridCol w:w="1134"/>
        <w:gridCol w:w="1134"/>
        <w:gridCol w:w="1134"/>
        <w:gridCol w:w="1134"/>
        <w:gridCol w:w="1134"/>
      </w:tblGrid>
      <w:tr w:rsidR="003D101E" w:rsidRPr="00034F84">
        <w:trPr>
          <w:trHeight w:val="365"/>
        </w:trPr>
        <w:tc>
          <w:tcPr>
            <w:tcW w:w="2376" w:type="dxa"/>
            <w:vMerge w:val="restart"/>
            <w:tcBorders>
              <w:top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Наименование показателя</w:t>
            </w:r>
          </w:p>
        </w:tc>
        <w:tc>
          <w:tcPr>
            <w:tcW w:w="1134" w:type="dxa"/>
            <w:tcBorders>
              <w:top w:val="single" w:sz="4" w:space="0" w:color="auto"/>
              <w:left w:val="nil"/>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jc w:val="center"/>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jc w:val="center"/>
              <w:rPr>
                <w:rFonts w:ascii="Times New Roman" w:hAnsi="Times New Roman" w:cs="Times New Roman"/>
                <w:sz w:val="28"/>
                <w:szCs w:val="28"/>
              </w:rPr>
            </w:pPr>
          </w:p>
        </w:tc>
        <w:tc>
          <w:tcPr>
            <w:tcW w:w="4536" w:type="dxa"/>
            <w:gridSpan w:val="4"/>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Значения показателя</w:t>
            </w:r>
          </w:p>
        </w:tc>
      </w:tr>
      <w:tr w:rsidR="003D101E" w:rsidRPr="00034F84">
        <w:tc>
          <w:tcPr>
            <w:tcW w:w="2376" w:type="dxa"/>
            <w:vMerge/>
            <w:tcBorders>
              <w:top w:val="single" w:sz="4" w:space="0" w:color="auto"/>
              <w:bottom w:val="single" w:sz="4" w:space="0" w:color="auto"/>
              <w:right w:val="single" w:sz="4" w:space="0" w:color="auto"/>
            </w:tcBorders>
            <w:vAlign w:val="center"/>
          </w:tcPr>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2017 факт</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 факт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 факт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 прогноз</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2022</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r>
      <w:tr w:rsidR="003D101E" w:rsidRPr="00034F84">
        <w:trPr>
          <w:trHeight w:val="2068"/>
        </w:trPr>
        <w:tc>
          <w:tcPr>
            <w:tcW w:w="2376" w:type="dxa"/>
            <w:tcBorders>
              <w:top w:val="single" w:sz="4" w:space="0" w:color="auto"/>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1. Объем инвестиций в основной капитал за счет всех источников финансирования (без субъектов малого предпринимательства),</w:t>
            </w:r>
            <w:r w:rsidRPr="00034F84">
              <w:rPr>
                <w:rFonts w:ascii="Times New Roman" w:hAnsi="Times New Roman" w:cs="Times New Roman"/>
                <w:sz w:val="28"/>
                <w:szCs w:val="28"/>
              </w:rPr>
              <w:br/>
              <w:t>тыс. руб.</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34109</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701277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148363</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153852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159699</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165767</w:t>
            </w:r>
          </w:p>
        </w:tc>
      </w:tr>
      <w:tr w:rsidR="003D101E" w:rsidRPr="00034F84">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2.Темп роста объема инвестиций в основной капитал за счет всех источников финансирования (без субъектов малого предпринимательства) в действующих </w:t>
            </w:r>
            <w:proofErr w:type="spellStart"/>
            <w:r w:rsidRPr="00034F84">
              <w:rPr>
                <w:rFonts w:ascii="Times New Roman" w:hAnsi="Times New Roman" w:cs="Times New Roman"/>
                <w:sz w:val="28"/>
                <w:szCs w:val="28"/>
              </w:rPr>
              <w:t>ценах,%</w:t>
            </w:r>
            <w:proofErr w:type="spellEnd"/>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10,87</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2055,99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21,16</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103,7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103,8</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103,8</w:t>
            </w:r>
          </w:p>
        </w:tc>
      </w:tr>
      <w:tr w:rsidR="003D101E" w:rsidRPr="00034F84">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3. Темп роста объема </w:t>
            </w:r>
            <w:r w:rsidRPr="00034F84">
              <w:rPr>
                <w:rFonts w:ascii="Times New Roman" w:hAnsi="Times New Roman" w:cs="Times New Roman"/>
                <w:sz w:val="28"/>
                <w:szCs w:val="28"/>
              </w:rPr>
              <w:lastRenderedPageBreak/>
              <w:t xml:space="preserve">инвестиций в основной капитал за счет всех источников финансирования (без субъектов малого предпринимательства) в сопоставимых </w:t>
            </w:r>
            <w:proofErr w:type="spellStart"/>
            <w:r w:rsidRPr="00034F84">
              <w:rPr>
                <w:rFonts w:ascii="Times New Roman" w:hAnsi="Times New Roman" w:cs="Times New Roman"/>
                <w:sz w:val="28"/>
                <w:szCs w:val="28"/>
              </w:rPr>
              <w:t>ценах,%</w:t>
            </w:r>
            <w:proofErr w:type="spellEnd"/>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lastRenderedPageBreak/>
              <w:t>10,63</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2011,73</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20,02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100</w:t>
            </w:r>
          </w:p>
        </w:tc>
      </w:tr>
      <w:tr w:rsidR="003D101E" w:rsidRPr="00034F84">
        <w:trPr>
          <w:trHeight w:val="1078"/>
        </w:trPr>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lastRenderedPageBreak/>
              <w:t>4. Инвестиции в основной капитал за счет бюджетных средств, тыс. руб.</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5816</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7148</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11851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12289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12756</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13241</w:t>
            </w:r>
          </w:p>
        </w:tc>
      </w:tr>
      <w:tr w:rsidR="003D101E" w:rsidRPr="00034F84">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5. Объем инвестиций без бюджетных средств, тыс. руб</w:t>
            </w:r>
            <w:proofErr w:type="gramStart"/>
            <w:r w:rsidRPr="00034F84">
              <w:rPr>
                <w:rFonts w:ascii="Times New Roman" w:hAnsi="Times New Roman" w:cs="Times New Roman"/>
                <w:sz w:val="28"/>
                <w:szCs w:val="28"/>
              </w:rPr>
              <w:t>.(</w:t>
            </w:r>
            <w:proofErr w:type="gramEnd"/>
            <w:r w:rsidRPr="00034F84">
              <w:rPr>
                <w:rFonts w:ascii="Times New Roman" w:hAnsi="Times New Roman" w:cs="Times New Roman"/>
                <w:sz w:val="28"/>
                <w:szCs w:val="28"/>
              </w:rPr>
              <w:t>стр. 1 – стр. 2)</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28293</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694129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136512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141563</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146943</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152526</w:t>
            </w:r>
          </w:p>
        </w:tc>
      </w:tr>
      <w:tr w:rsidR="003D101E" w:rsidRPr="00034F84">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6. Среднегодовая численность населения, чел.</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9895</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9619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9370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9211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9133</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9071</w:t>
            </w:r>
          </w:p>
        </w:tc>
      </w:tr>
      <w:tr w:rsidR="003D101E" w:rsidRPr="00034F84">
        <w:tc>
          <w:tcPr>
            <w:tcW w:w="2376"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7. Объем инвестиций в основной капитал (за исключением бюджетных средств) в расчете на 1 человека населения, руб</w:t>
            </w:r>
            <w:proofErr w:type="gramStart"/>
            <w:r w:rsidRPr="00034F84">
              <w:rPr>
                <w:rFonts w:ascii="Times New Roman" w:hAnsi="Times New Roman" w:cs="Times New Roman"/>
                <w:sz w:val="28"/>
                <w:szCs w:val="28"/>
              </w:rPr>
              <w:t>.(</w:t>
            </w:r>
            <w:proofErr w:type="gramEnd"/>
            <w:r w:rsidRPr="00034F84">
              <w:rPr>
                <w:rFonts w:ascii="Times New Roman" w:hAnsi="Times New Roman" w:cs="Times New Roman"/>
                <w:sz w:val="28"/>
                <w:szCs w:val="28"/>
              </w:rPr>
              <w:t>стр. 3/стр. 4)</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2859,32</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72162,28</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14569,05</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15368,91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16089,24</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16814,68</w:t>
            </w:r>
          </w:p>
        </w:tc>
      </w:tr>
    </w:tbl>
    <w:p w:rsidR="003D101E" w:rsidRPr="00034F84" w:rsidRDefault="003D101E" w:rsidP="00034F84">
      <w:pPr>
        <w:autoSpaceDE w:val="0"/>
        <w:autoSpaceDN w:val="0"/>
        <w:adjustRightInd w:val="0"/>
        <w:spacing w:after="0" w:line="240" w:lineRule="auto"/>
        <w:contextualSpacing/>
        <w:jc w:val="both"/>
        <w:rPr>
          <w:rFonts w:ascii="Times New Roman" w:hAnsi="Times New Roman" w:cs="Times New Roman"/>
          <w:sz w:val="28"/>
          <w:szCs w:val="28"/>
        </w:rPr>
      </w:pPr>
    </w:p>
    <w:p w:rsidR="003D101E" w:rsidRPr="00034F84" w:rsidRDefault="00834B54" w:rsidP="001E489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b/>
          <w:bCs/>
          <w:color w:val="000000"/>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В 2019 году было продано 131 га земельных участков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Доля площади земельных участков,</w:t>
      </w:r>
      <w:r w:rsidR="001E489E">
        <w:rPr>
          <w:rFonts w:ascii="Times New Roman" w:hAnsi="Times New Roman" w:cs="Times New Roman"/>
          <w:sz w:val="28"/>
          <w:szCs w:val="28"/>
        </w:rPr>
        <w:t xml:space="preserve"> </w:t>
      </w:r>
      <w:r w:rsidRPr="00034F84">
        <w:rPr>
          <w:rFonts w:ascii="Times New Roman" w:hAnsi="Times New Roman" w:cs="Times New Roman"/>
          <w:sz w:val="28"/>
          <w:szCs w:val="28"/>
        </w:rPr>
        <w:t>являющихся объектами налогообложения</w:t>
      </w:r>
      <w:r w:rsidR="001E489E">
        <w:rPr>
          <w:rFonts w:ascii="Times New Roman" w:hAnsi="Times New Roman" w:cs="Times New Roman"/>
          <w:sz w:val="28"/>
          <w:szCs w:val="28"/>
        </w:rPr>
        <w:t>,</w:t>
      </w:r>
      <w:r w:rsidRPr="00034F84">
        <w:rPr>
          <w:rFonts w:ascii="Times New Roman" w:hAnsi="Times New Roman" w:cs="Times New Roman"/>
          <w:sz w:val="28"/>
          <w:szCs w:val="28"/>
        </w:rPr>
        <w:t xml:space="preserve"> в 2019 году составила 28,45 % в общей площади </w:t>
      </w:r>
      <w:r w:rsidRPr="00034F84">
        <w:rPr>
          <w:rFonts w:ascii="Times New Roman" w:hAnsi="Times New Roman" w:cs="Times New Roman"/>
          <w:sz w:val="28"/>
          <w:szCs w:val="28"/>
        </w:rPr>
        <w:lastRenderedPageBreak/>
        <w:t xml:space="preserve">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увеличение по сравнению с 2018 годом составило 0,04%.</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К 2022 году значительного увеличение данного показателя не прогнозируется, доля площади земельных участков, являющихся объектами налогообложения</w:t>
      </w:r>
      <w:r w:rsidR="001E489E">
        <w:rPr>
          <w:rFonts w:ascii="Times New Roman" w:hAnsi="Times New Roman" w:cs="Times New Roman"/>
          <w:sz w:val="28"/>
          <w:szCs w:val="28"/>
        </w:rPr>
        <w:t>,</w:t>
      </w:r>
      <w:r w:rsidRPr="00034F84">
        <w:rPr>
          <w:rFonts w:ascii="Times New Roman" w:hAnsi="Times New Roman" w:cs="Times New Roman"/>
          <w:sz w:val="28"/>
          <w:szCs w:val="28"/>
        </w:rPr>
        <w:t xml:space="preserve"> составит 28,46 %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5. Доля прибыльных сельскохозяйственных </w:t>
      </w:r>
      <w:proofErr w:type="gramStart"/>
      <w:r w:rsidRPr="00034F84">
        <w:rPr>
          <w:rFonts w:ascii="Times New Roman" w:hAnsi="Times New Roman" w:cs="Times New Roman"/>
          <w:b/>
          <w:bCs/>
          <w:color w:val="000000"/>
          <w:sz w:val="28"/>
          <w:szCs w:val="28"/>
        </w:rPr>
        <w:t>организаций</w:t>
      </w:r>
      <w:proofErr w:type="gramEnd"/>
      <w:r w:rsidRPr="00034F84">
        <w:rPr>
          <w:rFonts w:ascii="Times New Roman" w:hAnsi="Times New Roman" w:cs="Times New Roman"/>
          <w:b/>
          <w:bCs/>
          <w:color w:val="000000"/>
          <w:sz w:val="28"/>
          <w:szCs w:val="28"/>
        </w:rPr>
        <w:t xml:space="preserve"> в общем их числе</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2019 году доля прибыльных сельскохозяйственных организаций в районе составила 100%.</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прогнозных периодах 2020-2022 гг. все сельскохозяйственные организации района планируют получить прибыль по результатам своей деятельности.</w:t>
      </w:r>
    </w:p>
    <w:p w:rsidR="003D101E" w:rsidRPr="00034F84" w:rsidRDefault="00834B54" w:rsidP="001E489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D101E" w:rsidRPr="00034F84" w:rsidRDefault="001E489E" w:rsidP="00034F84">
      <w:pPr>
        <w:autoSpaceDE w:val="0"/>
        <w:autoSpaceDN w:val="0"/>
        <w:adjustRightInd w:val="0"/>
        <w:spacing w:line="240" w:lineRule="auto"/>
        <w:ind w:hanging="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34B54" w:rsidRPr="00034F84">
        <w:rPr>
          <w:rFonts w:ascii="Times New Roman" w:hAnsi="Times New Roman" w:cs="Times New Roman"/>
          <w:color w:val="000000"/>
          <w:sz w:val="28"/>
          <w:szCs w:val="28"/>
        </w:rPr>
        <w:tab/>
        <w:t>Общая протяженность автомобильных дорог в районе на 31.12.2019 г. составляет 164,4 км, из них не отвечают нормативным требованиям 95,1 км дорог. На 31.12.2019 г.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57,85 %. К 202</w:t>
      </w:r>
      <w:r w:rsidR="00034F84">
        <w:rPr>
          <w:rFonts w:ascii="Times New Roman" w:hAnsi="Times New Roman" w:cs="Times New Roman"/>
          <w:color w:val="000000"/>
          <w:sz w:val="28"/>
          <w:szCs w:val="28"/>
        </w:rPr>
        <w:t>2</w:t>
      </w:r>
      <w:r w:rsidR="00834B54" w:rsidRPr="00034F84">
        <w:rPr>
          <w:rFonts w:ascii="Times New Roman" w:hAnsi="Times New Roman" w:cs="Times New Roman"/>
          <w:color w:val="000000"/>
          <w:sz w:val="28"/>
          <w:szCs w:val="28"/>
        </w:rPr>
        <w:t xml:space="preserve"> году этот показатель составит 55,9%.</w:t>
      </w:r>
      <w:r w:rsidR="00834B54" w:rsidRPr="00034F84">
        <w:rPr>
          <w:rFonts w:ascii="Times New Roman" w:hAnsi="Times New Roman" w:cs="Times New Roman"/>
          <w:color w:val="000000"/>
          <w:sz w:val="28"/>
          <w:szCs w:val="28"/>
        </w:rPr>
        <w:tab/>
      </w:r>
    </w:p>
    <w:p w:rsidR="003D101E" w:rsidRPr="00034F84" w:rsidRDefault="00834B54" w:rsidP="001E489E">
      <w:pPr>
        <w:autoSpaceDE w:val="0"/>
        <w:autoSpaceDN w:val="0"/>
        <w:adjustRightInd w:val="0"/>
        <w:spacing w:line="240" w:lineRule="auto"/>
        <w:ind w:hanging="40"/>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ab/>
      </w:r>
      <w:r w:rsidRPr="00034F84">
        <w:rPr>
          <w:rFonts w:ascii="Times New Roman" w:hAnsi="Times New Roman" w:cs="Times New Roman"/>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составляет  0%.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 Среднемесячная номинальная начисленная заработная плата работников:</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8.1. крупных и средних предприятий и некоммерческих организаций городского округа (муниципального района)4</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color w:val="000000"/>
          <w:sz w:val="28"/>
          <w:szCs w:val="28"/>
        </w:rPr>
        <w:tab/>
      </w:r>
      <w:r w:rsidRPr="00034F84">
        <w:rPr>
          <w:rFonts w:ascii="Times New Roman" w:hAnsi="Times New Roman" w:cs="Times New Roman"/>
          <w:sz w:val="28"/>
          <w:szCs w:val="28"/>
        </w:rPr>
        <w:t xml:space="preserve">Среднемесячная номинальная заработная  плата крупных и средних предприятий и некоммерческих организаций выросла по сравнению с 2018 годом на 11,1 % и составила в 2019 году 33723,1 руб. </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На рост среднемесячной начисленной номинальной заработной платы работников крупных и средних предприятий и некоммерческих организаций повлияли следующие факторы:</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highlight w:val="white"/>
        </w:rPr>
      </w:pPr>
      <w:r w:rsidRPr="00034F84">
        <w:rPr>
          <w:rFonts w:ascii="Times New Roman" w:hAnsi="Times New Roman" w:cs="Times New Roman"/>
          <w:sz w:val="28"/>
          <w:szCs w:val="28"/>
          <w:highlight w:val="white"/>
        </w:rPr>
        <w:t>- выполнение майских указов Президента РФ,</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highlight w:val="white"/>
        </w:rPr>
      </w:pPr>
      <w:r w:rsidRPr="00034F84">
        <w:rPr>
          <w:rFonts w:ascii="Times New Roman" w:hAnsi="Times New Roman" w:cs="Times New Roman"/>
          <w:sz w:val="28"/>
          <w:szCs w:val="28"/>
          <w:highlight w:val="white"/>
        </w:rPr>
        <w:t xml:space="preserve">- повышение минимального </w:t>
      </w:r>
      <w:proofErr w:type="gramStart"/>
      <w:r w:rsidRPr="00034F84">
        <w:rPr>
          <w:rFonts w:ascii="Times New Roman" w:hAnsi="Times New Roman" w:cs="Times New Roman"/>
          <w:sz w:val="28"/>
          <w:szCs w:val="28"/>
          <w:highlight w:val="white"/>
        </w:rPr>
        <w:t>размера оплаты труда</w:t>
      </w:r>
      <w:proofErr w:type="gramEnd"/>
      <w:r w:rsidRPr="00034F84">
        <w:rPr>
          <w:rFonts w:ascii="Times New Roman" w:hAnsi="Times New Roman" w:cs="Times New Roman"/>
          <w:sz w:val="28"/>
          <w:szCs w:val="28"/>
          <w:highlight w:val="white"/>
        </w:rPr>
        <w:t xml:space="preserve"> (МРОТ) до прожиточного </w:t>
      </w:r>
      <w:r w:rsidRPr="00034F84">
        <w:rPr>
          <w:rFonts w:ascii="Times New Roman" w:hAnsi="Times New Roman" w:cs="Times New Roman"/>
          <w:sz w:val="28"/>
          <w:szCs w:val="28"/>
          <w:highlight w:val="white"/>
        </w:rPr>
        <w:lastRenderedPageBreak/>
        <w:t>минимума,</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highlight w:val="white"/>
        </w:rPr>
        <w:t>- увеличение на 4,3 % в связи с индексацией оплаты труда работников бюджетной сферы.</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Самая высокая зарплата в районе по виду экономической деятельности «Транспортировка и хранение»- Транспортирование по трубопроводам нефти (НПС «Каштан») 91496,3 </w:t>
      </w:r>
      <w:proofErr w:type="spellStart"/>
      <w:r w:rsidRPr="00034F84">
        <w:rPr>
          <w:rFonts w:ascii="Times New Roman" w:hAnsi="Times New Roman" w:cs="Times New Roman"/>
          <w:sz w:val="28"/>
          <w:szCs w:val="28"/>
        </w:rPr>
        <w:t>руб</w:t>
      </w:r>
      <w:proofErr w:type="spellEnd"/>
      <w:r w:rsidRPr="00034F84">
        <w:rPr>
          <w:rFonts w:ascii="Times New Roman" w:hAnsi="Times New Roman" w:cs="Times New Roman"/>
          <w:sz w:val="28"/>
          <w:szCs w:val="28"/>
        </w:rPr>
        <w:t xml:space="preserve"> и по ВЭД «Деятельность в области информации и связи» 69554,7 руб.</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2020г. ожидается: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увеличение </w:t>
      </w:r>
      <w:r w:rsidRPr="00034F84">
        <w:rPr>
          <w:rFonts w:ascii="Times New Roman" w:hAnsi="Times New Roman" w:cs="Times New Roman"/>
          <w:sz w:val="28"/>
          <w:szCs w:val="28"/>
          <w:highlight w:val="white"/>
        </w:rPr>
        <w:t>оплаты труда работников бюджетной сферы</w:t>
      </w:r>
      <w:r w:rsidRPr="00034F84">
        <w:rPr>
          <w:rFonts w:ascii="Times New Roman" w:hAnsi="Times New Roman" w:cs="Times New Roman"/>
          <w:sz w:val="28"/>
          <w:szCs w:val="28"/>
        </w:rPr>
        <w:t xml:space="preserve"> в рамках выполнения указов Президента Российской Федерации,</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увеличение оплаты труда в хозяйствующих субъектах в пределах инфляции,</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w:t>
      </w:r>
      <w:r w:rsidRPr="00034F84">
        <w:rPr>
          <w:rFonts w:ascii="Times New Roman" w:hAnsi="Times New Roman" w:cs="Times New Roman"/>
          <w:sz w:val="28"/>
          <w:szCs w:val="28"/>
          <w:highlight w:val="white"/>
        </w:rPr>
        <w:t xml:space="preserve"> индексация оплаты труда работников бюджетной сферы</w:t>
      </w:r>
      <w:r w:rsidRPr="00034F84">
        <w:rPr>
          <w:rFonts w:ascii="Times New Roman" w:hAnsi="Times New Roman" w:cs="Times New Roman"/>
          <w:sz w:val="28"/>
          <w:szCs w:val="28"/>
        </w:rPr>
        <w:t xml:space="preserve"> с 01.10.2020  на 3%.  </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 Ожидаемое повышение размера заработной платы:</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2021г. на 5,8%, в 2022г. на 6,2%. </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К 2022 году размер заработной платы крупных и средних предприятий и некоммерческих организаций увеличится по сравнению с 2019г. на 18,7 % и составит 40013,04 руб.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8.2. муниципальных дошкольных образовательных учреждений;</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Среднемесячная номинальная заработная плата работников муниципальных дошкольных учреждений в 2019 году составила 21696,7 руб., что на 13,3%  выше 2018 года.</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К 2022 году этот показатель увеличится до 24058 руб.</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8.3. муниципальных общеобразовательных учреждений;</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color w:val="000000"/>
          <w:sz w:val="28"/>
          <w:szCs w:val="28"/>
        </w:rPr>
        <w:t>Среднемесячная номинальная заработная  плата в муниципальных общеобразовательных учреждениях в 2019 году увеличилась на  7,4 % и составила 30897,14 руб. Среднемесячная зарплата учителей- 38629,43 руб</w:t>
      </w:r>
      <w:proofErr w:type="gramStart"/>
      <w:r w:rsidRPr="00034F84">
        <w:rPr>
          <w:rFonts w:ascii="Times New Roman" w:hAnsi="Times New Roman" w:cs="Times New Roman"/>
          <w:sz w:val="28"/>
          <w:szCs w:val="28"/>
        </w:rPr>
        <w:t>.(</w:t>
      </w:r>
      <w:proofErr w:type="gramEnd"/>
      <w:r w:rsidRPr="00034F84">
        <w:rPr>
          <w:rFonts w:ascii="Times New Roman" w:hAnsi="Times New Roman" w:cs="Times New Roman"/>
          <w:sz w:val="28"/>
          <w:szCs w:val="28"/>
        </w:rPr>
        <w:t xml:space="preserve">на 1 %  выше 2018г.) </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034F84">
        <w:rPr>
          <w:rFonts w:ascii="Times New Roman" w:hAnsi="Times New Roman" w:cs="Times New Roman"/>
          <w:sz w:val="28"/>
          <w:szCs w:val="28"/>
        </w:rPr>
        <w:t xml:space="preserve">По прогнозу к 2022 году </w:t>
      </w:r>
      <w:r w:rsidRPr="00034F84">
        <w:rPr>
          <w:rFonts w:ascii="Times New Roman" w:hAnsi="Times New Roman" w:cs="Times New Roman"/>
          <w:color w:val="000000"/>
          <w:sz w:val="28"/>
          <w:szCs w:val="28"/>
        </w:rPr>
        <w:t xml:space="preserve">среднемесячная номинальная заработная плата в муниципальных общеобразовательных учреждениях </w:t>
      </w:r>
      <w:r w:rsidRPr="00034F84">
        <w:rPr>
          <w:rFonts w:ascii="Times New Roman" w:hAnsi="Times New Roman" w:cs="Times New Roman"/>
          <w:sz w:val="28"/>
          <w:szCs w:val="28"/>
        </w:rPr>
        <w:t xml:space="preserve">составит 34534 </w:t>
      </w:r>
      <w:proofErr w:type="spellStart"/>
      <w:r w:rsidRPr="00034F84">
        <w:rPr>
          <w:rFonts w:ascii="Times New Roman" w:hAnsi="Times New Roman" w:cs="Times New Roman"/>
          <w:sz w:val="28"/>
          <w:szCs w:val="28"/>
        </w:rPr>
        <w:t>руб</w:t>
      </w:r>
      <w:proofErr w:type="spellEnd"/>
      <w:r w:rsidRPr="00034F84">
        <w:rPr>
          <w:rFonts w:ascii="Times New Roman" w:hAnsi="Times New Roman" w:cs="Times New Roman"/>
          <w:sz w:val="28"/>
          <w:szCs w:val="28"/>
        </w:rPr>
        <w:t>, учителей -41143,80 руб.</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8.4. муниципальных учреждений культуры и искусства;</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ab/>
        <w:t>В 2019 году среднемесячная номинальная заработная  плата муниципальных учреждений культуры и искусства увеличилась на 12,4 % и составила 30086,77  руб.</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ab/>
        <w:t>К 2022 году размер заработной платы по данной отрасли составит 34023 руб.</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8.5. муниципальных учреждений физической культуры и спорта</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ab/>
        <w:t>Среднемесячная номинальная заработная  плата работников муниципальных учреждений физической культуры и спорта увеличилась по сравнению с 2018 годом на 16,2% и  составила в 2019 году 17959 руб.</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color w:val="000000"/>
          <w:sz w:val="28"/>
          <w:szCs w:val="28"/>
        </w:rPr>
        <w:tab/>
        <w:t xml:space="preserve">К 2022 году этот показатель составит 19544,79  </w:t>
      </w:r>
      <w:proofErr w:type="spellStart"/>
      <w:r w:rsidRPr="00034F84">
        <w:rPr>
          <w:rFonts w:ascii="Times New Roman" w:hAnsi="Times New Roman" w:cs="Times New Roman"/>
          <w:color w:val="000000"/>
          <w:sz w:val="28"/>
          <w:szCs w:val="28"/>
        </w:rPr>
        <w:t>руб</w:t>
      </w:r>
      <w:proofErr w:type="spellEnd"/>
      <w:proofErr w:type="gramStart"/>
      <w:r w:rsidRPr="00034F84">
        <w:rPr>
          <w:rFonts w:ascii="Times New Roman" w:hAnsi="Times New Roman" w:cs="Times New Roman"/>
          <w:color w:val="000000"/>
          <w:sz w:val="28"/>
          <w:szCs w:val="28"/>
        </w:rPr>
        <w:t xml:space="preserve"> .</w:t>
      </w:r>
      <w:proofErr w:type="gramEnd"/>
    </w:p>
    <w:p w:rsidR="00034F84" w:rsidRDefault="00034F84"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p>
    <w:p w:rsidR="003D101E" w:rsidRDefault="00834B54"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r w:rsidRPr="00034F84">
        <w:rPr>
          <w:rFonts w:ascii="Times New Roman" w:hAnsi="Times New Roman" w:cs="Times New Roman"/>
          <w:b/>
          <w:bCs/>
          <w:color w:val="000000"/>
          <w:sz w:val="28"/>
          <w:szCs w:val="28"/>
        </w:rPr>
        <w:lastRenderedPageBreak/>
        <w:t>II. Дошкольное образование</w:t>
      </w:r>
    </w:p>
    <w:p w:rsidR="00034F84" w:rsidRPr="00034F84" w:rsidRDefault="00034F8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На 31.12.2019 года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функционирует 8 дошкольных образовательных учреждений на 273 места. Численность детей в возрасте 1-6 лет, согласно статистическим данным, </w:t>
      </w:r>
      <w:r w:rsidRPr="00034F84">
        <w:rPr>
          <w:rFonts w:ascii="Times New Roman" w:hAnsi="Times New Roman" w:cs="Times New Roman"/>
          <w:sz w:val="28"/>
          <w:szCs w:val="28"/>
          <w:highlight w:val="white"/>
        </w:rPr>
        <w:t>составила 692</w:t>
      </w:r>
      <w:r w:rsidRPr="00034F84">
        <w:rPr>
          <w:rFonts w:ascii="Times New Roman" w:hAnsi="Times New Roman" w:cs="Times New Roman"/>
          <w:sz w:val="28"/>
          <w:szCs w:val="28"/>
        </w:rPr>
        <w:t xml:space="preserve">человек. </w:t>
      </w: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Дошкольное образование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получают 250детей. Детские сады посещают 226 детей, также5 детей находятся в </w:t>
      </w:r>
      <w:proofErr w:type="gramStart"/>
      <w:r w:rsidRPr="00034F84">
        <w:rPr>
          <w:rFonts w:ascii="Times New Roman" w:hAnsi="Times New Roman" w:cs="Times New Roman"/>
          <w:sz w:val="28"/>
          <w:szCs w:val="28"/>
        </w:rPr>
        <w:t>группе полного дня</w:t>
      </w:r>
      <w:proofErr w:type="gramEnd"/>
      <w:r w:rsidRPr="00034F84">
        <w:rPr>
          <w:rFonts w:ascii="Times New Roman" w:hAnsi="Times New Roman" w:cs="Times New Roman"/>
          <w:sz w:val="28"/>
          <w:szCs w:val="28"/>
        </w:rPr>
        <w:t xml:space="preserve"> при МКОУ </w:t>
      </w:r>
      <w:proofErr w:type="spellStart"/>
      <w:r w:rsidRPr="00034F84">
        <w:rPr>
          <w:rFonts w:ascii="Times New Roman" w:hAnsi="Times New Roman" w:cs="Times New Roman"/>
          <w:sz w:val="28"/>
          <w:szCs w:val="28"/>
        </w:rPr>
        <w:t>Вагинской</w:t>
      </w:r>
      <w:proofErr w:type="spellEnd"/>
      <w:r w:rsidRPr="00034F84">
        <w:rPr>
          <w:rFonts w:ascii="Times New Roman" w:hAnsi="Times New Roman" w:cs="Times New Roman"/>
          <w:sz w:val="28"/>
          <w:szCs w:val="28"/>
        </w:rPr>
        <w:t xml:space="preserve"> НШДС и 19 детей в дошкольной группе МКОУ </w:t>
      </w:r>
      <w:proofErr w:type="spellStart"/>
      <w:r w:rsidRPr="00034F84">
        <w:rPr>
          <w:rFonts w:ascii="Times New Roman" w:hAnsi="Times New Roman" w:cs="Times New Roman"/>
          <w:sz w:val="28"/>
          <w:szCs w:val="28"/>
        </w:rPr>
        <w:t>Краснозаводская</w:t>
      </w:r>
      <w:proofErr w:type="spellEnd"/>
      <w:r w:rsidRPr="00034F84">
        <w:rPr>
          <w:rFonts w:ascii="Times New Roman" w:hAnsi="Times New Roman" w:cs="Times New Roman"/>
          <w:sz w:val="28"/>
          <w:szCs w:val="28"/>
        </w:rPr>
        <w:t xml:space="preserve"> СОШ. </w:t>
      </w:r>
    </w:p>
    <w:p w:rsidR="003D101E" w:rsidRPr="00034F84" w:rsidRDefault="00834B54" w:rsidP="00034F84">
      <w:pPr>
        <w:autoSpaceDE w:val="0"/>
        <w:autoSpaceDN w:val="0"/>
        <w:adjustRightInd w:val="0"/>
        <w:spacing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очереди для определения в дошкольные образовательные учреждения района на 01.01.2020 от  0 до 7 лет состоит 58 детей. Актуальная очередь на 01.01.2020 г. (желающие посещать детский сад с 01.09.2019) составляет 0 детей. Групп семейного воспитания при действующих детских садах, кратковременного пребывания при общеобразовательных учреждениях, а также частных и ведомственных ДОУ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нет. </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 xml:space="preserve">Доля детей в возрасте 1-6 лет, получающих в 2019 году дошкольную образовательную услугу и (или) услугу по их содержанию в муниципальных образовательных учреждениях (250 ребенка) в общей численности детей в возрасте 1-6 лет (692 ребенка), составила </w:t>
      </w:r>
      <w:r w:rsidR="00AB3B2E">
        <w:rPr>
          <w:rFonts w:ascii="Times New Roman" w:hAnsi="Times New Roman" w:cs="Times New Roman"/>
          <w:sz w:val="28"/>
          <w:szCs w:val="28"/>
        </w:rPr>
        <w:t>36</w:t>
      </w:r>
      <w:r w:rsidRPr="00034F84">
        <w:rPr>
          <w:rFonts w:ascii="Times New Roman" w:hAnsi="Times New Roman" w:cs="Times New Roman"/>
          <w:sz w:val="28"/>
          <w:szCs w:val="28"/>
        </w:rPr>
        <w:t xml:space="preserve">% (из расчета: 250*100:692). К 2022 году этот показатель составит 39%. </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Доля детей в возрасте 1-6 лет, желающих поступить с 01.09.2020 г. в муниципальные дошкольные образовательные учреждения (актуальная очередь 0 человек), в общей численности детей в возрасте 1-6 лет (692 ребенка),  за 2019 год составила 0 % .На прогнозный период 2020-2022гг</w:t>
      </w:r>
      <w:proofErr w:type="gramStart"/>
      <w:r w:rsidRPr="00034F84">
        <w:rPr>
          <w:rFonts w:ascii="Times New Roman" w:hAnsi="Times New Roman" w:cs="Times New Roman"/>
          <w:sz w:val="28"/>
          <w:szCs w:val="28"/>
        </w:rPr>
        <w:t>.о</w:t>
      </w:r>
      <w:proofErr w:type="gramEnd"/>
      <w:r w:rsidRPr="00034F84">
        <w:rPr>
          <w:rFonts w:ascii="Times New Roman" w:hAnsi="Times New Roman" w:cs="Times New Roman"/>
          <w:sz w:val="28"/>
          <w:szCs w:val="28"/>
        </w:rPr>
        <w:t xml:space="preserve">жидается отсутствие актуальной очереди детей от 1 до 6 лет, желающих поступить в муниципальные дошкольные образовательные учреждения. </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Муниципальные дошкольные образовательные учреждения, здания которых находятся в аварийном состоянии или требуют капитального ремонта, на территории района отсутствуют.</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1E489E" w:rsidRDefault="001E489E"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lastRenderedPageBreak/>
        <w:t>III. Общее и дополнительное образование</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Сеть муниципальных общеобразовательных учреждений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представлена 11 учреждениями:</w:t>
      </w:r>
    </w:p>
    <w:p w:rsidR="003D101E" w:rsidRPr="00034F84" w:rsidRDefault="00834B54" w:rsidP="00034F84">
      <w:pPr>
        <w:tabs>
          <w:tab w:val="left" w:pos="1134"/>
        </w:tabs>
        <w:autoSpaceDE w:val="0"/>
        <w:autoSpaceDN w:val="0"/>
        <w:adjustRightInd w:val="0"/>
        <w:spacing w:line="240" w:lineRule="auto"/>
        <w:ind w:firstLine="567"/>
        <w:contextualSpacing/>
        <w:jc w:val="both"/>
        <w:rPr>
          <w:rFonts w:ascii="Times New Roman" w:hAnsi="Times New Roman" w:cs="Times New Roman"/>
          <w:sz w:val="28"/>
          <w:szCs w:val="28"/>
        </w:rPr>
      </w:pPr>
      <w:r w:rsidRPr="00034F84">
        <w:rPr>
          <w:rFonts w:ascii="Times New Roman" w:hAnsi="Times New Roman" w:cs="Times New Roman"/>
          <w:sz w:val="28"/>
          <w:szCs w:val="28"/>
        </w:rPr>
        <w:t>-10  средних общеобразовательных учреждений;</w:t>
      </w:r>
    </w:p>
    <w:p w:rsidR="003D101E" w:rsidRPr="00034F84" w:rsidRDefault="00834B54" w:rsidP="00034F84">
      <w:pPr>
        <w:tabs>
          <w:tab w:val="left" w:pos="1134"/>
        </w:tabs>
        <w:autoSpaceDE w:val="0"/>
        <w:autoSpaceDN w:val="0"/>
        <w:adjustRightInd w:val="0"/>
        <w:spacing w:line="240" w:lineRule="auto"/>
        <w:ind w:firstLine="567"/>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- 1 – начальная школа - детский сад.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Общее количество обучающихся </w:t>
      </w:r>
      <w:proofErr w:type="gramStart"/>
      <w:r w:rsidRPr="00034F84">
        <w:rPr>
          <w:rFonts w:ascii="Times New Roman" w:hAnsi="Times New Roman" w:cs="Times New Roman"/>
          <w:sz w:val="28"/>
          <w:szCs w:val="28"/>
        </w:rPr>
        <w:t>на конец</w:t>
      </w:r>
      <w:proofErr w:type="gramEnd"/>
      <w:r w:rsidRPr="00034F84">
        <w:rPr>
          <w:rFonts w:ascii="Times New Roman" w:hAnsi="Times New Roman" w:cs="Times New Roman"/>
          <w:sz w:val="28"/>
          <w:szCs w:val="28"/>
        </w:rPr>
        <w:t xml:space="preserve"> 2019 года составило 1057 человек.</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12.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3D101E" w:rsidRPr="00034F84" w:rsidRDefault="00834B54" w:rsidP="00034F84">
      <w:pPr>
        <w:autoSpaceDE w:val="0"/>
        <w:autoSpaceDN w:val="0"/>
        <w:adjustRightInd w:val="0"/>
        <w:spacing w:line="240" w:lineRule="auto"/>
        <w:ind w:firstLine="567"/>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К государственной итоговой аттестации по программам среднего общего образования по математике и русскому языку были допущены 23 обучающихся, один из выпускников 11 класса не смог сдать ЕГЭ. Аттестаты о среднем общем образовании получили 22 </w:t>
      </w:r>
      <w:proofErr w:type="spellStart"/>
      <w:r w:rsidRPr="00034F84">
        <w:rPr>
          <w:rFonts w:ascii="Times New Roman" w:hAnsi="Times New Roman" w:cs="Times New Roman"/>
          <w:sz w:val="28"/>
          <w:szCs w:val="28"/>
        </w:rPr>
        <w:t>выпускника</w:t>
      </w:r>
      <w:proofErr w:type="gramStart"/>
      <w:r w:rsidRPr="00034F84">
        <w:rPr>
          <w:rFonts w:ascii="Times New Roman" w:hAnsi="Times New Roman" w:cs="Times New Roman"/>
          <w:sz w:val="28"/>
          <w:szCs w:val="28"/>
        </w:rPr>
        <w:t>,и</w:t>
      </w:r>
      <w:proofErr w:type="gramEnd"/>
      <w:r w:rsidRPr="00034F84">
        <w:rPr>
          <w:rFonts w:ascii="Times New Roman" w:hAnsi="Times New Roman" w:cs="Times New Roman"/>
          <w:sz w:val="28"/>
          <w:szCs w:val="28"/>
        </w:rPr>
        <w:t>ли</w:t>
      </w:r>
      <w:proofErr w:type="spellEnd"/>
      <w:r w:rsidRPr="00034F84">
        <w:rPr>
          <w:rFonts w:ascii="Times New Roman" w:hAnsi="Times New Roman" w:cs="Times New Roman"/>
          <w:sz w:val="28"/>
          <w:szCs w:val="28"/>
        </w:rPr>
        <w:t xml:space="preserve"> 95,7 % от принявших участие в сдаче ЕГЭ выпускников.</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3D101E" w:rsidRPr="00034F84" w:rsidRDefault="00834B54" w:rsidP="00034F84">
      <w:pPr>
        <w:autoSpaceDE w:val="0"/>
        <w:autoSpaceDN w:val="0"/>
        <w:adjustRightInd w:val="0"/>
        <w:spacing w:line="240" w:lineRule="auto"/>
        <w:ind w:firstLine="567"/>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Из 23 допущенных к сдаче ЕГЭ обучающихся, один из выпускников 11 класса не смог сдать ЕГЭ. Таким образом доля выпускников муниципальных общеобразовательных </w:t>
      </w:r>
      <w:proofErr w:type="spellStart"/>
      <w:r w:rsidRPr="00034F84">
        <w:rPr>
          <w:rFonts w:ascii="Times New Roman" w:hAnsi="Times New Roman" w:cs="Times New Roman"/>
          <w:sz w:val="28"/>
          <w:szCs w:val="28"/>
        </w:rPr>
        <w:t>учреждений</w:t>
      </w:r>
      <w:proofErr w:type="gramStart"/>
      <w:r w:rsidRPr="00034F84">
        <w:rPr>
          <w:rFonts w:ascii="Times New Roman" w:hAnsi="Times New Roman" w:cs="Times New Roman"/>
          <w:sz w:val="28"/>
          <w:szCs w:val="28"/>
        </w:rPr>
        <w:t>,н</w:t>
      </w:r>
      <w:proofErr w:type="gramEnd"/>
      <w:r w:rsidRPr="00034F84">
        <w:rPr>
          <w:rFonts w:ascii="Times New Roman" w:hAnsi="Times New Roman" w:cs="Times New Roman"/>
          <w:sz w:val="28"/>
          <w:szCs w:val="28"/>
        </w:rPr>
        <w:t>е</w:t>
      </w:r>
      <w:proofErr w:type="spellEnd"/>
      <w:r w:rsidRPr="00034F84">
        <w:rPr>
          <w:rFonts w:ascii="Times New Roman" w:hAnsi="Times New Roman" w:cs="Times New Roman"/>
          <w:sz w:val="28"/>
          <w:szCs w:val="28"/>
        </w:rPr>
        <w:t xml:space="preserve"> получивших аттестат о среднем(полном) образовании составила 4,34 % в общей численности выпускников, допущенных к ЕГЭ.</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2019 году осталась на прежнем уровне – 82,95% (2018 год – 82,95%).</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D101E" w:rsidRPr="00034F84" w:rsidRDefault="00834B54" w:rsidP="00034F84">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034F84">
        <w:rPr>
          <w:rFonts w:ascii="Times New Roman" w:hAnsi="Times New Roman" w:cs="Times New Roman"/>
          <w:sz w:val="28"/>
          <w:szCs w:val="28"/>
        </w:rPr>
        <w:t>На конец</w:t>
      </w:r>
      <w:proofErr w:type="gramEnd"/>
      <w:r w:rsidRPr="00034F84">
        <w:rPr>
          <w:rFonts w:ascii="Times New Roman" w:hAnsi="Times New Roman" w:cs="Times New Roman"/>
          <w:sz w:val="28"/>
          <w:szCs w:val="28"/>
        </w:rPr>
        <w:t xml:space="preserve"> 2019 года отсутствуют общеобразовательные учреждения,  нуждающиеся в капитальном ремонте.</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16. Доля детей первой и второй групп здоровья в общей </w:t>
      </w:r>
      <w:proofErr w:type="gramStart"/>
      <w:r w:rsidRPr="00034F84">
        <w:rPr>
          <w:rFonts w:ascii="Times New Roman" w:hAnsi="Times New Roman" w:cs="Times New Roman"/>
          <w:b/>
          <w:bCs/>
          <w:color w:val="000000"/>
          <w:sz w:val="28"/>
          <w:szCs w:val="28"/>
        </w:rPr>
        <w:t>численности</w:t>
      </w:r>
      <w:proofErr w:type="gramEnd"/>
      <w:r w:rsidRPr="00034F84">
        <w:rPr>
          <w:rFonts w:ascii="Times New Roman" w:hAnsi="Times New Roman" w:cs="Times New Roman"/>
          <w:b/>
          <w:bCs/>
          <w:color w:val="000000"/>
          <w:sz w:val="28"/>
          <w:szCs w:val="28"/>
        </w:rPr>
        <w:t xml:space="preserve"> обучающихся в муниципальных общеобразовательных учреждениях</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 xml:space="preserve">Доля детей первой и второй групп здоровья в общей </w:t>
      </w:r>
      <w:proofErr w:type="gramStart"/>
      <w:r w:rsidRPr="00034F84">
        <w:rPr>
          <w:rFonts w:ascii="Times New Roman" w:hAnsi="Times New Roman" w:cs="Times New Roman"/>
          <w:sz w:val="28"/>
          <w:szCs w:val="28"/>
        </w:rPr>
        <w:t>численности</w:t>
      </w:r>
      <w:proofErr w:type="gramEnd"/>
      <w:r w:rsidRPr="00034F84">
        <w:rPr>
          <w:rFonts w:ascii="Times New Roman" w:hAnsi="Times New Roman" w:cs="Times New Roman"/>
          <w:sz w:val="28"/>
          <w:szCs w:val="28"/>
        </w:rPr>
        <w:t xml:space="preserve"> обучающихся в муниципальных общеобразовательных учреждениях составила в 2019 году 76,72 %. Во всех школах налажено горячее питание обучающихся, регулярно проводятся профилактические мероприятия оздоровительной направленности. По прогнозу к 2022 г. этот показатель увеличится до  76,9% .</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17. Доля обучающихся в муниципальных общеобразовательных учреждениях, занимающихся во вторую (третью) смену, в общей </w:t>
      </w:r>
      <w:proofErr w:type="gramStart"/>
      <w:r w:rsidRPr="00034F84">
        <w:rPr>
          <w:rFonts w:ascii="Times New Roman" w:hAnsi="Times New Roman" w:cs="Times New Roman"/>
          <w:b/>
          <w:bCs/>
          <w:color w:val="000000"/>
          <w:sz w:val="28"/>
          <w:szCs w:val="28"/>
        </w:rPr>
        <w:t>численности</w:t>
      </w:r>
      <w:proofErr w:type="gramEnd"/>
      <w:r w:rsidRPr="00034F84">
        <w:rPr>
          <w:rFonts w:ascii="Times New Roman" w:hAnsi="Times New Roman" w:cs="Times New Roman"/>
          <w:b/>
          <w:bCs/>
          <w:color w:val="000000"/>
          <w:sz w:val="28"/>
          <w:szCs w:val="28"/>
        </w:rPr>
        <w:t xml:space="preserve"> обучающихся в муниципальных общеобразовательных учреждениях</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Доля обучающихся в муниципальных общеобразовательных учреждениях, занимающихся во вторую смену, в общей </w:t>
      </w:r>
      <w:proofErr w:type="gramStart"/>
      <w:r w:rsidRPr="00034F84">
        <w:rPr>
          <w:rFonts w:ascii="Times New Roman" w:hAnsi="Times New Roman" w:cs="Times New Roman"/>
          <w:sz w:val="28"/>
          <w:szCs w:val="28"/>
        </w:rPr>
        <w:t>численности</w:t>
      </w:r>
      <w:proofErr w:type="gramEnd"/>
      <w:r w:rsidRPr="00034F84">
        <w:rPr>
          <w:rFonts w:ascii="Times New Roman" w:hAnsi="Times New Roman" w:cs="Times New Roman"/>
          <w:sz w:val="28"/>
          <w:szCs w:val="28"/>
        </w:rPr>
        <w:t xml:space="preserve"> обучающихся в муниципальных общеобразовательных учреждениях в 2019 году составила 9,35% (в 2018-9,74%).</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районе во вторую смену занимаются </w:t>
      </w:r>
      <w:proofErr w:type="gramStart"/>
      <w:r w:rsidRPr="00034F84">
        <w:rPr>
          <w:rFonts w:ascii="Times New Roman" w:hAnsi="Times New Roman" w:cs="Times New Roman"/>
          <w:sz w:val="28"/>
          <w:szCs w:val="28"/>
        </w:rPr>
        <w:t>обучающиеся</w:t>
      </w:r>
      <w:proofErr w:type="gramEnd"/>
      <w:r w:rsidRPr="00034F84">
        <w:rPr>
          <w:rFonts w:ascii="Times New Roman" w:hAnsi="Times New Roman" w:cs="Times New Roman"/>
          <w:sz w:val="28"/>
          <w:szCs w:val="28"/>
        </w:rPr>
        <w:t xml:space="preserve"> МБОУ </w:t>
      </w:r>
      <w:proofErr w:type="spellStart"/>
      <w:r w:rsidRPr="00034F84">
        <w:rPr>
          <w:rFonts w:ascii="Times New Roman" w:hAnsi="Times New Roman" w:cs="Times New Roman"/>
          <w:sz w:val="28"/>
          <w:szCs w:val="28"/>
        </w:rPr>
        <w:t>Боготольской</w:t>
      </w:r>
      <w:proofErr w:type="spellEnd"/>
      <w:r w:rsidRPr="00034F84">
        <w:rPr>
          <w:rFonts w:ascii="Times New Roman" w:hAnsi="Times New Roman" w:cs="Times New Roman"/>
          <w:sz w:val="28"/>
          <w:szCs w:val="28"/>
        </w:rPr>
        <w:t xml:space="preserve"> СОШ(80 обучающихся) и МКОУ </w:t>
      </w:r>
      <w:proofErr w:type="spellStart"/>
      <w:r w:rsidRPr="00034F84">
        <w:rPr>
          <w:rFonts w:ascii="Times New Roman" w:hAnsi="Times New Roman" w:cs="Times New Roman"/>
          <w:sz w:val="28"/>
          <w:szCs w:val="28"/>
        </w:rPr>
        <w:t>Краснозаводской</w:t>
      </w:r>
      <w:proofErr w:type="spellEnd"/>
      <w:r w:rsidRPr="00034F84">
        <w:rPr>
          <w:rFonts w:ascii="Times New Roman" w:hAnsi="Times New Roman" w:cs="Times New Roman"/>
          <w:sz w:val="28"/>
          <w:szCs w:val="28"/>
        </w:rPr>
        <w:t xml:space="preserve"> СОШ(20 обучающийся). В связи с небольшой проектной мощностью нет возможности организовать обучение в этих школах только в первую смену.</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2019 году составили 66,22 тыс</w:t>
      </w:r>
      <w:proofErr w:type="gramStart"/>
      <w:r w:rsidRPr="00034F84">
        <w:rPr>
          <w:rFonts w:ascii="Times New Roman" w:hAnsi="Times New Roman" w:cs="Times New Roman"/>
          <w:sz w:val="28"/>
          <w:szCs w:val="28"/>
        </w:rPr>
        <w:t>.р</w:t>
      </w:r>
      <w:proofErr w:type="gramEnd"/>
      <w:r w:rsidRPr="00034F84">
        <w:rPr>
          <w:rFonts w:ascii="Times New Roman" w:hAnsi="Times New Roman" w:cs="Times New Roman"/>
          <w:sz w:val="28"/>
          <w:szCs w:val="28"/>
        </w:rPr>
        <w:t>уб. (в 2018 г. – 51,36 тыс.руб.).</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3D101E" w:rsidRPr="00034F84" w:rsidRDefault="00834B54" w:rsidP="00034F84">
      <w:pPr>
        <w:autoSpaceDE w:val="0"/>
        <w:autoSpaceDN w:val="0"/>
        <w:adjustRightInd w:val="0"/>
        <w:spacing w:line="240" w:lineRule="auto"/>
        <w:ind w:firstLine="709"/>
        <w:contextualSpacing/>
        <w:jc w:val="both"/>
        <w:rPr>
          <w:rFonts w:ascii="Times New Roman" w:hAnsi="Times New Roman" w:cs="Times New Roman"/>
          <w:sz w:val="28"/>
          <w:szCs w:val="28"/>
        </w:rPr>
      </w:pPr>
      <w:r w:rsidRPr="00034F84">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в 2019 г.5,57%. К 2022 году ожидается рост данного показателя до 5,78%, в связи с изменением количества детей данной возрастной группы.</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IV. Культура</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autoSpaceDE w:val="0"/>
        <w:autoSpaceDN w:val="0"/>
        <w:adjustRightInd w:val="0"/>
        <w:spacing w:before="100" w:after="10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состоит из 22 структурных подразделений – 9 сельских домов культуры и 13 сельских клубов.                                                                                                                                                                                          </w:t>
      </w:r>
      <w:r w:rsidRPr="00034F84">
        <w:rPr>
          <w:rFonts w:ascii="Times New Roman" w:hAnsi="Times New Roman" w:cs="Times New Roman"/>
          <w:sz w:val="28"/>
          <w:szCs w:val="28"/>
        </w:rPr>
        <w:tab/>
        <w:t xml:space="preserve">МБУК ЦБС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состоит из центральной библиотеки, детской библиотеки и 18 филиалов.</w:t>
      </w:r>
    </w:p>
    <w:p w:rsidR="003D101E" w:rsidRPr="00034F84" w:rsidRDefault="00834B54" w:rsidP="00034F84">
      <w:pPr>
        <w:autoSpaceDE w:val="0"/>
        <w:autoSpaceDN w:val="0"/>
        <w:adjustRightInd w:val="0"/>
        <w:spacing w:before="100" w:after="10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Удовлетворительное состояние зданий в 6 сетевых единицах, требуют  капитального ремонта здания 16 сетевых единиц, 2 учреждения (МБУК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с. Боготол, Чайковский СДК) здания находятся в </w:t>
      </w:r>
      <w:r w:rsidRPr="00034F84">
        <w:rPr>
          <w:rFonts w:ascii="Times New Roman" w:hAnsi="Times New Roman" w:cs="Times New Roman"/>
          <w:sz w:val="28"/>
          <w:szCs w:val="28"/>
        </w:rPr>
        <w:lastRenderedPageBreak/>
        <w:t>аварийном состоянии.  В 2019 году капитальный ремонт осуществлен в 2 учреждениях культуры – 7368,2 тыс. рублей, текущий ремонт – в 12 учреждениях культуры – 236,0 тыс. рублей.</w:t>
      </w:r>
    </w:p>
    <w:p w:rsidR="003D101E" w:rsidRPr="00034F84" w:rsidRDefault="00834B54" w:rsidP="00034F84">
      <w:pPr>
        <w:autoSpaceDE w:val="0"/>
        <w:autoSpaceDN w:val="0"/>
        <w:adjustRightInd w:val="0"/>
        <w:spacing w:before="100" w:after="0" w:line="240" w:lineRule="auto"/>
        <w:ind w:firstLine="708"/>
        <w:contextualSpacing/>
        <w:jc w:val="both"/>
        <w:rPr>
          <w:rFonts w:ascii="Times New Roman" w:hAnsi="Times New Roman" w:cs="Times New Roman"/>
          <w:sz w:val="28"/>
          <w:szCs w:val="28"/>
          <w:highlight w:val="yellow"/>
        </w:rPr>
      </w:pPr>
      <w:r w:rsidRPr="00034F84">
        <w:rPr>
          <w:rFonts w:ascii="Times New Roman" w:hAnsi="Times New Roman" w:cs="Times New Roman"/>
          <w:sz w:val="28"/>
          <w:szCs w:val="28"/>
        </w:rPr>
        <w:t xml:space="preserve">Основные показатели деятельности учреждений культуры остаются стабильно высокими. Крупнейшими культурными акциями и событиями 2019 год, с помощью которых были достигнуты основные показатели, стали: районный смотр художественной самодеятельности среди учреждений культуры, районный праздник «День села», краевой фестиваль детского и молодежного экранного творчества им. В. </w:t>
      </w:r>
      <w:proofErr w:type="spellStart"/>
      <w:r w:rsidRPr="00034F84">
        <w:rPr>
          <w:rFonts w:ascii="Times New Roman" w:hAnsi="Times New Roman" w:cs="Times New Roman"/>
          <w:sz w:val="28"/>
          <w:szCs w:val="28"/>
        </w:rPr>
        <w:t>Трегубовича</w:t>
      </w:r>
      <w:proofErr w:type="spellEnd"/>
      <w:r w:rsidRPr="00034F84">
        <w:rPr>
          <w:rFonts w:ascii="Times New Roman" w:hAnsi="Times New Roman" w:cs="Times New Roman"/>
          <w:sz w:val="28"/>
          <w:szCs w:val="28"/>
        </w:rPr>
        <w:t>.</w:t>
      </w:r>
    </w:p>
    <w:p w:rsidR="003D101E" w:rsidRPr="00034F84" w:rsidRDefault="00834B54" w:rsidP="00034F84">
      <w:pPr>
        <w:autoSpaceDE w:val="0"/>
        <w:autoSpaceDN w:val="0"/>
        <w:adjustRightInd w:val="0"/>
        <w:spacing w:before="100"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2019 году в учреждениях культуры клубного типа были поддержаны 4 социальных проекта на сумму 1872,7 тыс. рублей, МБУК ЦБС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освоил в 2019 году 1 социальный проект на сумму 120,0 тыс. рублей.</w:t>
      </w:r>
    </w:p>
    <w:p w:rsidR="003D101E" w:rsidRPr="00034F84" w:rsidRDefault="00834B54" w:rsidP="00034F84">
      <w:pPr>
        <w:autoSpaceDE w:val="0"/>
        <w:autoSpaceDN w:val="0"/>
        <w:adjustRightInd w:val="0"/>
        <w:spacing w:before="100" w:after="0"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2019 году 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стали победителями в краевой программе «Поддержка учреждений культуры и искусства» по строительству модульного Сельского Дома культуры в </w:t>
      </w:r>
      <w:proofErr w:type="gramStart"/>
      <w:r w:rsidRPr="00034F84">
        <w:rPr>
          <w:rFonts w:ascii="Times New Roman" w:hAnsi="Times New Roman" w:cs="Times New Roman"/>
          <w:sz w:val="28"/>
          <w:szCs w:val="28"/>
        </w:rPr>
        <w:t>с</w:t>
      </w:r>
      <w:proofErr w:type="gramEnd"/>
      <w:r w:rsidRPr="00034F84">
        <w:rPr>
          <w:rFonts w:ascii="Times New Roman" w:hAnsi="Times New Roman" w:cs="Times New Roman"/>
          <w:sz w:val="28"/>
          <w:szCs w:val="28"/>
        </w:rPr>
        <w:t>. Боготоле.</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20. Уровень фактической обеспеченности учреждениями культуры от нормативной потребности:</w:t>
      </w:r>
    </w:p>
    <w:p w:rsidR="003D101E" w:rsidRPr="00034F84" w:rsidRDefault="00834B54" w:rsidP="00034F84">
      <w:pPr>
        <w:autoSpaceDE w:val="0"/>
        <w:autoSpaceDN w:val="0"/>
        <w:adjustRightInd w:val="0"/>
        <w:spacing w:before="100"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Уровень фактической обеспеченности учреждениями культуры от нормативной потребности в среднем составляет 100%</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клубами и учреждениями клубного типа</w:t>
      </w:r>
    </w:p>
    <w:p w:rsidR="003D101E" w:rsidRPr="00034F84" w:rsidRDefault="00834B54" w:rsidP="00034F84">
      <w:pPr>
        <w:autoSpaceDE w:val="0"/>
        <w:autoSpaceDN w:val="0"/>
        <w:adjustRightInd w:val="0"/>
        <w:spacing w:before="100"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клубами и учреждениями клубного типа составил за 2019 год 100%,</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библиотеками</w:t>
      </w:r>
    </w:p>
    <w:p w:rsidR="003D101E" w:rsidRPr="00034F84" w:rsidRDefault="00834B54" w:rsidP="00034F84">
      <w:pPr>
        <w:autoSpaceDE w:val="0"/>
        <w:autoSpaceDN w:val="0"/>
        <w:adjustRightInd w:val="0"/>
        <w:spacing w:before="100"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библиотеками – 100 %.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парками культуры и отдыха</w:t>
      </w:r>
    </w:p>
    <w:p w:rsidR="003D101E" w:rsidRPr="00034F84" w:rsidRDefault="00834B54" w:rsidP="00034F84">
      <w:pPr>
        <w:widowControl w:val="0"/>
        <w:autoSpaceDE w:val="0"/>
        <w:autoSpaceDN w:val="0"/>
        <w:adjustRightInd w:val="0"/>
        <w:spacing w:before="100"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Парки культуры и отдыха на территории района отсутствуют.</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D101E" w:rsidRPr="00034F84" w:rsidRDefault="00834B54" w:rsidP="00034F84">
      <w:pPr>
        <w:autoSpaceDE w:val="0"/>
        <w:autoSpaceDN w:val="0"/>
        <w:adjustRightInd w:val="0"/>
        <w:spacing w:before="100"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На 01.01.2020 года из 42 учреждений культуры требуют капитального ремонта</w:t>
      </w:r>
      <w:proofErr w:type="gramStart"/>
      <w:r w:rsidRPr="00034F84">
        <w:rPr>
          <w:rFonts w:ascii="Times New Roman" w:hAnsi="Times New Roman" w:cs="Times New Roman"/>
          <w:sz w:val="28"/>
          <w:szCs w:val="28"/>
        </w:rPr>
        <w:t xml:space="preserve"> :</w:t>
      </w:r>
      <w:proofErr w:type="gram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w:t>
      </w:r>
      <w:proofErr w:type="spellStart"/>
      <w:r w:rsidRPr="00034F84">
        <w:rPr>
          <w:rFonts w:ascii="Times New Roman" w:hAnsi="Times New Roman" w:cs="Times New Roman"/>
          <w:sz w:val="28"/>
          <w:szCs w:val="28"/>
        </w:rPr>
        <w:t>с</w:t>
      </w:r>
      <w:proofErr w:type="gramStart"/>
      <w:r w:rsidRPr="00034F84">
        <w:rPr>
          <w:rFonts w:ascii="Times New Roman" w:hAnsi="Times New Roman" w:cs="Times New Roman"/>
          <w:sz w:val="28"/>
          <w:szCs w:val="28"/>
        </w:rPr>
        <w:t>.М</w:t>
      </w:r>
      <w:proofErr w:type="gramEnd"/>
      <w:r w:rsidRPr="00034F84">
        <w:rPr>
          <w:rFonts w:ascii="Times New Roman" w:hAnsi="Times New Roman" w:cs="Times New Roman"/>
          <w:sz w:val="28"/>
          <w:szCs w:val="28"/>
        </w:rPr>
        <w:t>едяково</w:t>
      </w:r>
      <w:proofErr w:type="spell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с</w:t>
      </w:r>
      <w:proofErr w:type="gramStart"/>
      <w:r w:rsidRPr="00034F84">
        <w:rPr>
          <w:rFonts w:ascii="Times New Roman" w:hAnsi="Times New Roman" w:cs="Times New Roman"/>
          <w:sz w:val="28"/>
          <w:szCs w:val="28"/>
        </w:rPr>
        <w:t>.К</w:t>
      </w:r>
      <w:proofErr w:type="gramEnd"/>
      <w:r w:rsidRPr="00034F84">
        <w:rPr>
          <w:rFonts w:ascii="Times New Roman" w:hAnsi="Times New Roman" w:cs="Times New Roman"/>
          <w:sz w:val="28"/>
          <w:szCs w:val="28"/>
        </w:rPr>
        <w:t>расный Завод</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Красная речка</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с</w:t>
      </w:r>
      <w:proofErr w:type="gramStart"/>
      <w:r w:rsidRPr="00034F84">
        <w:rPr>
          <w:rFonts w:ascii="Times New Roman" w:hAnsi="Times New Roman" w:cs="Times New Roman"/>
          <w:sz w:val="28"/>
          <w:szCs w:val="28"/>
        </w:rPr>
        <w:t>.Б</w:t>
      </w:r>
      <w:proofErr w:type="gramEnd"/>
      <w:r w:rsidRPr="00034F84">
        <w:rPr>
          <w:rFonts w:ascii="Times New Roman" w:hAnsi="Times New Roman" w:cs="Times New Roman"/>
          <w:sz w:val="28"/>
          <w:szCs w:val="28"/>
        </w:rPr>
        <w:t>ольшая Косуль</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п</w:t>
      </w:r>
      <w:proofErr w:type="gramStart"/>
      <w:r w:rsidRPr="00034F84">
        <w:rPr>
          <w:rFonts w:ascii="Times New Roman" w:hAnsi="Times New Roman" w:cs="Times New Roman"/>
          <w:sz w:val="28"/>
          <w:szCs w:val="28"/>
        </w:rPr>
        <w:t>.Ч</w:t>
      </w:r>
      <w:proofErr w:type="gramEnd"/>
      <w:r w:rsidRPr="00034F84">
        <w:rPr>
          <w:rFonts w:ascii="Times New Roman" w:hAnsi="Times New Roman" w:cs="Times New Roman"/>
          <w:sz w:val="28"/>
          <w:szCs w:val="28"/>
        </w:rPr>
        <w:t>айковский</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w:t>
      </w:r>
      <w:proofErr w:type="gramStart"/>
      <w:r w:rsidRPr="00034F84">
        <w:rPr>
          <w:rFonts w:ascii="Times New Roman" w:hAnsi="Times New Roman" w:cs="Times New Roman"/>
          <w:sz w:val="28"/>
          <w:szCs w:val="28"/>
        </w:rPr>
        <w:t>.Б</w:t>
      </w:r>
      <w:proofErr w:type="gramEnd"/>
      <w:r w:rsidRPr="00034F84">
        <w:rPr>
          <w:rFonts w:ascii="Times New Roman" w:hAnsi="Times New Roman" w:cs="Times New Roman"/>
          <w:sz w:val="28"/>
          <w:szCs w:val="28"/>
        </w:rPr>
        <w:t>улатово</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w:t>
      </w:r>
      <w:proofErr w:type="spellStart"/>
      <w:r w:rsidRPr="00034F84">
        <w:rPr>
          <w:rFonts w:ascii="Times New Roman" w:hAnsi="Times New Roman" w:cs="Times New Roman"/>
          <w:sz w:val="28"/>
          <w:szCs w:val="28"/>
        </w:rPr>
        <w:t>Шулдат</w:t>
      </w:r>
      <w:proofErr w:type="spell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с. </w:t>
      </w:r>
      <w:proofErr w:type="spellStart"/>
      <w:r w:rsidRPr="00034F84">
        <w:rPr>
          <w:rFonts w:ascii="Times New Roman" w:hAnsi="Times New Roman" w:cs="Times New Roman"/>
          <w:sz w:val="28"/>
          <w:szCs w:val="28"/>
        </w:rPr>
        <w:t>Вагино</w:t>
      </w:r>
      <w:proofErr w:type="spell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Дмитриевка</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д</w:t>
      </w:r>
      <w:proofErr w:type="gramStart"/>
      <w:r w:rsidRPr="00034F84">
        <w:rPr>
          <w:rFonts w:ascii="Times New Roman" w:hAnsi="Times New Roman" w:cs="Times New Roman"/>
          <w:sz w:val="28"/>
          <w:szCs w:val="28"/>
        </w:rPr>
        <w:t>.И</w:t>
      </w:r>
      <w:proofErr w:type="gramEnd"/>
      <w:r w:rsidRPr="00034F84">
        <w:rPr>
          <w:rFonts w:ascii="Times New Roman" w:hAnsi="Times New Roman" w:cs="Times New Roman"/>
          <w:sz w:val="28"/>
          <w:szCs w:val="28"/>
        </w:rPr>
        <w:t>льинка</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СДК </w:t>
      </w:r>
      <w:proofErr w:type="spellStart"/>
      <w:r w:rsidRPr="00034F84">
        <w:rPr>
          <w:rFonts w:ascii="Times New Roman" w:hAnsi="Times New Roman" w:cs="Times New Roman"/>
          <w:sz w:val="28"/>
          <w:szCs w:val="28"/>
        </w:rPr>
        <w:t>с</w:t>
      </w:r>
      <w:proofErr w:type="gramStart"/>
      <w:r w:rsidRPr="00034F84">
        <w:rPr>
          <w:rFonts w:ascii="Times New Roman" w:hAnsi="Times New Roman" w:cs="Times New Roman"/>
          <w:sz w:val="28"/>
          <w:szCs w:val="28"/>
        </w:rPr>
        <w:t>.К</w:t>
      </w:r>
      <w:proofErr w:type="gramEnd"/>
      <w:r w:rsidRPr="00034F84">
        <w:rPr>
          <w:rFonts w:ascii="Times New Roman" w:hAnsi="Times New Roman" w:cs="Times New Roman"/>
          <w:sz w:val="28"/>
          <w:szCs w:val="28"/>
        </w:rPr>
        <w:t>ритово</w:t>
      </w:r>
      <w:proofErr w:type="spell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w:t>
      </w:r>
      <w:proofErr w:type="spellStart"/>
      <w:r w:rsidRPr="00034F84">
        <w:rPr>
          <w:rFonts w:ascii="Times New Roman" w:hAnsi="Times New Roman" w:cs="Times New Roman"/>
          <w:sz w:val="28"/>
          <w:szCs w:val="28"/>
        </w:rPr>
        <w:t>Разгуляевка</w:t>
      </w:r>
      <w:proofErr w:type="spellEnd"/>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Берёзовка</w:t>
      </w:r>
    </w:p>
    <w:p w:rsidR="003D101E" w:rsidRPr="00034F84" w:rsidRDefault="00834B54" w:rsidP="00034F84">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МБУК ЦКС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СК д. Лебедевка</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15.МБУК ЦБС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Центральная библиотека</w:t>
      </w:r>
    </w:p>
    <w:p w:rsidR="003D101E" w:rsidRPr="00034F84" w:rsidRDefault="00773D7E" w:rsidP="00034F84">
      <w:pPr>
        <w:autoSpaceDE w:val="0"/>
        <w:autoSpaceDN w:val="0"/>
        <w:adjustRightInd w:val="0"/>
        <w:spacing w:before="10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34B54" w:rsidRPr="00034F84">
        <w:rPr>
          <w:rFonts w:ascii="Times New Roman" w:hAnsi="Times New Roman" w:cs="Times New Roman"/>
          <w:sz w:val="28"/>
          <w:szCs w:val="28"/>
        </w:rPr>
        <w:t>Находится в аварийном состоянии МБУК СДК с</w:t>
      </w:r>
      <w:proofErr w:type="gramStart"/>
      <w:r w:rsidR="00834B54" w:rsidRPr="00034F84">
        <w:rPr>
          <w:rFonts w:ascii="Times New Roman" w:hAnsi="Times New Roman" w:cs="Times New Roman"/>
          <w:sz w:val="28"/>
          <w:szCs w:val="28"/>
        </w:rPr>
        <w:t>.Б</w:t>
      </w:r>
      <w:proofErr w:type="gramEnd"/>
      <w:r w:rsidR="00834B54" w:rsidRPr="00034F84">
        <w:rPr>
          <w:rFonts w:ascii="Times New Roman" w:hAnsi="Times New Roman" w:cs="Times New Roman"/>
          <w:sz w:val="28"/>
          <w:szCs w:val="28"/>
        </w:rPr>
        <w:t>оготол.</w:t>
      </w:r>
    </w:p>
    <w:p w:rsidR="003D101E" w:rsidRPr="00034F84" w:rsidRDefault="00834B54" w:rsidP="00034F84">
      <w:pPr>
        <w:autoSpaceDE w:val="0"/>
        <w:autoSpaceDN w:val="0"/>
        <w:adjustRightInd w:val="0"/>
        <w:spacing w:before="100"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Доля муниципальных учреждений культуры, здания и помещения которых </w:t>
      </w:r>
      <w:proofErr w:type="gramStart"/>
      <w:r w:rsidRPr="00034F84">
        <w:rPr>
          <w:rFonts w:ascii="Times New Roman" w:hAnsi="Times New Roman" w:cs="Times New Roman"/>
          <w:sz w:val="28"/>
          <w:szCs w:val="28"/>
        </w:rPr>
        <w:t>требуют капитального ремонта в общем количестве муниципальных учреждений культуры за 2019 год составила</w:t>
      </w:r>
      <w:proofErr w:type="gramEnd"/>
      <w:r w:rsidRPr="00034F84">
        <w:rPr>
          <w:rFonts w:ascii="Times New Roman" w:hAnsi="Times New Roman" w:cs="Times New Roman"/>
          <w:sz w:val="28"/>
          <w:szCs w:val="28"/>
        </w:rPr>
        <w:t xml:space="preserve"> 38,1%.</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D101E" w:rsidRPr="00034F84" w:rsidRDefault="00773D7E" w:rsidP="00034F84">
      <w:pPr>
        <w:widowControl w:val="0"/>
        <w:autoSpaceDE w:val="0"/>
        <w:autoSpaceDN w:val="0"/>
        <w:adjustRightInd w:val="0"/>
        <w:spacing w:before="100"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834B54" w:rsidRPr="00034F84">
        <w:rPr>
          <w:rFonts w:ascii="Times New Roman" w:hAnsi="Times New Roman" w:cs="Times New Roman"/>
          <w:sz w:val="28"/>
          <w:szCs w:val="28"/>
        </w:rPr>
        <w:t>Объекты культурного наследия  в муниципальной собственности отсутствуют.</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V. Физическая культура и спорт</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На территории района два учреждения осуществляют деятельность в области спорта – МБУ СОК «Олимпиец» и МАУ спортивно-оздоровительная база отдыха «Сосновый бор».  </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В2019 году МАУ СОБО «Сосновый Бор» посетили 1165 человек. </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состав  МБУ СОК «Олимпиец» входят </w:t>
      </w:r>
      <w:r w:rsidRPr="00034F84">
        <w:rPr>
          <w:rFonts w:ascii="Times New Roman" w:hAnsi="Times New Roman" w:cs="Times New Roman"/>
          <w:color w:val="262626"/>
          <w:sz w:val="28"/>
          <w:szCs w:val="28"/>
        </w:rPr>
        <w:t>5 спортивных клубов по месту жительства, всего в</w:t>
      </w:r>
      <w:r w:rsidRPr="00034F84">
        <w:rPr>
          <w:rFonts w:ascii="Times New Roman" w:hAnsi="Times New Roman" w:cs="Times New Roman"/>
          <w:sz w:val="28"/>
          <w:szCs w:val="28"/>
        </w:rPr>
        <w:t xml:space="preserve"> МБУ СОК «Олимпиец» и </w:t>
      </w:r>
      <w:r w:rsidRPr="00034F84">
        <w:rPr>
          <w:rFonts w:ascii="Times New Roman" w:hAnsi="Times New Roman" w:cs="Times New Roman"/>
          <w:color w:val="262626"/>
          <w:sz w:val="28"/>
          <w:szCs w:val="28"/>
        </w:rPr>
        <w:t xml:space="preserve">  клубах  занимается 505 человек</w:t>
      </w:r>
      <w:r w:rsidRPr="00034F84">
        <w:rPr>
          <w:rFonts w:ascii="Times New Roman" w:hAnsi="Times New Roman" w:cs="Times New Roman"/>
          <w:sz w:val="28"/>
          <w:szCs w:val="28"/>
        </w:rPr>
        <w:t>:</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034F84">
        <w:rPr>
          <w:rFonts w:ascii="Times New Roman" w:hAnsi="Times New Roman" w:cs="Times New Roman"/>
          <w:sz w:val="28"/>
          <w:szCs w:val="28"/>
        </w:rPr>
        <w:t xml:space="preserve">- МБУ СОК «Олимпиец» следующей направленности: греко-римская борьба, пауэрлифтинг, гиревой спорт,  </w:t>
      </w:r>
      <w:proofErr w:type="spellStart"/>
      <w:r w:rsidRPr="00034F84">
        <w:rPr>
          <w:rFonts w:ascii="Times New Roman" w:hAnsi="Times New Roman" w:cs="Times New Roman"/>
          <w:sz w:val="28"/>
          <w:szCs w:val="28"/>
        </w:rPr>
        <w:t>н</w:t>
      </w:r>
      <w:proofErr w:type="spellEnd"/>
      <w:r w:rsidRPr="00034F84">
        <w:rPr>
          <w:rFonts w:ascii="Times New Roman" w:hAnsi="Times New Roman" w:cs="Times New Roman"/>
          <w:sz w:val="28"/>
          <w:szCs w:val="28"/>
        </w:rPr>
        <w:t>/теннис,  шахматы, л/атлетика, группа здоровья, количество занимающихся 70 человек.</w:t>
      </w:r>
      <w:proofErr w:type="gramEnd"/>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спортивный клуб «Раскат» следующей направленности: волейбол, баскетбол, мини-футбол, количество занимающихся 125 человека;</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спортивный клуб «Динамика» следующей направленности волейбол, баскетбол, настольный теннис, ОФП, количество занимающихся 119 человека;</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спортивный клуб «Спарта» следующей направленности настольный теннис, ОФП, пауэрлифтинг, количество занимающихся 86 человек;</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спортивный клуб «Сосновый бор» следующей направленности: лыжные гонки, спортивный туризм, количество занимающихся 45 человека;</w:t>
      </w:r>
    </w:p>
    <w:p w:rsidR="003D101E" w:rsidRPr="00034F84" w:rsidRDefault="00834B54" w:rsidP="00034F84">
      <w:pPr>
        <w:suppressAutoHyphens/>
        <w:autoSpaceDE w:val="0"/>
        <w:autoSpaceDN w:val="0"/>
        <w:adjustRightInd w:val="0"/>
        <w:spacing w:after="0" w:line="240" w:lineRule="auto"/>
        <w:contextualSpacing/>
        <w:jc w:val="both"/>
        <w:rPr>
          <w:rFonts w:ascii="Times New Roman" w:hAnsi="Times New Roman" w:cs="Times New Roman"/>
          <w:i/>
          <w:iCs/>
          <w:sz w:val="28"/>
          <w:szCs w:val="28"/>
        </w:rPr>
      </w:pPr>
      <w:r w:rsidRPr="00034F84">
        <w:rPr>
          <w:rFonts w:ascii="Times New Roman" w:hAnsi="Times New Roman" w:cs="Times New Roman"/>
          <w:sz w:val="28"/>
          <w:szCs w:val="28"/>
        </w:rPr>
        <w:t>- спортивный клуб «Здоровяк» следующей направленности настольный теннис, ОФП, пауэрлифтинг, количество занимающихся 60 человек.</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b/>
          <w:bCs/>
          <w:sz w:val="28"/>
          <w:szCs w:val="28"/>
        </w:rPr>
      </w:pPr>
      <w:r w:rsidRPr="00034F84">
        <w:rPr>
          <w:rFonts w:ascii="Times New Roman" w:hAnsi="Times New Roman" w:cs="Times New Roman"/>
          <w:sz w:val="28"/>
          <w:szCs w:val="28"/>
        </w:rPr>
        <w:tab/>
        <w:t>Общая численность занимающихся физической культурой и спортом жителей района на 01.01.2020 г. составила 2989 чел.</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23. Доля населения, систематически занимающегося физической культурой и спортом</w:t>
      </w:r>
    </w:p>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b/>
          <w:bCs/>
          <w:sz w:val="28"/>
          <w:szCs w:val="28"/>
        </w:rPr>
      </w:pPr>
      <w:r w:rsidRPr="00034F84">
        <w:rPr>
          <w:rFonts w:ascii="Times New Roman" w:hAnsi="Times New Roman" w:cs="Times New Roman"/>
          <w:sz w:val="28"/>
          <w:szCs w:val="28"/>
        </w:rPr>
        <w:tab/>
        <w:t xml:space="preserve">Доля населения, систематически </w:t>
      </w:r>
      <w:proofErr w:type="gramStart"/>
      <w:r w:rsidRPr="00034F84">
        <w:rPr>
          <w:rFonts w:ascii="Times New Roman" w:hAnsi="Times New Roman" w:cs="Times New Roman"/>
          <w:sz w:val="28"/>
          <w:szCs w:val="28"/>
        </w:rPr>
        <w:t>занимающихся</w:t>
      </w:r>
      <w:proofErr w:type="gramEnd"/>
      <w:r w:rsidRPr="00034F84">
        <w:rPr>
          <w:rFonts w:ascii="Times New Roman" w:hAnsi="Times New Roman" w:cs="Times New Roman"/>
          <w:sz w:val="28"/>
          <w:szCs w:val="28"/>
        </w:rPr>
        <w:t xml:space="preserve"> физической культурой и спортом за 2019 год, в общей численности населения, составила 33,77%. К 2022 году ожидается увеличение данного показателя до 39,1%. </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lastRenderedPageBreak/>
        <w:t xml:space="preserve">23.1.Доля </w:t>
      </w:r>
      <w:proofErr w:type="gramStart"/>
      <w:r w:rsidRPr="00034F84">
        <w:rPr>
          <w:rFonts w:ascii="Times New Roman" w:hAnsi="Times New Roman" w:cs="Times New Roman"/>
          <w:b/>
          <w:bCs/>
          <w:color w:val="000000"/>
          <w:sz w:val="28"/>
          <w:szCs w:val="28"/>
        </w:rPr>
        <w:t>обучающихся</w:t>
      </w:r>
      <w:proofErr w:type="gramEnd"/>
      <w:r w:rsidRPr="00034F84">
        <w:rPr>
          <w:rFonts w:ascii="Times New Roman" w:hAnsi="Times New Roman" w:cs="Times New Roman"/>
          <w:b/>
          <w:bCs/>
          <w:color w:val="000000"/>
          <w:sz w:val="28"/>
          <w:szCs w:val="28"/>
        </w:rPr>
        <w:t>, систематически занимающихся физической культурой и спортом, в общей численности обучающихся</w:t>
      </w:r>
    </w:p>
    <w:p w:rsidR="003D101E" w:rsidRPr="00034F84" w:rsidRDefault="00773D7E" w:rsidP="00034F84">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834B54" w:rsidRPr="00034F84">
        <w:rPr>
          <w:rFonts w:ascii="Times New Roman" w:hAnsi="Times New Roman" w:cs="Times New Roman"/>
          <w:sz w:val="28"/>
          <w:szCs w:val="28"/>
        </w:rPr>
        <w:t xml:space="preserve">Доля </w:t>
      </w:r>
      <w:proofErr w:type="gramStart"/>
      <w:r w:rsidR="00834B54" w:rsidRPr="00034F84">
        <w:rPr>
          <w:rFonts w:ascii="Times New Roman" w:hAnsi="Times New Roman" w:cs="Times New Roman"/>
          <w:sz w:val="28"/>
          <w:szCs w:val="28"/>
        </w:rPr>
        <w:t>обучающихся</w:t>
      </w:r>
      <w:proofErr w:type="gramEnd"/>
      <w:r w:rsidR="00834B54" w:rsidRPr="00034F84">
        <w:rPr>
          <w:rFonts w:ascii="Times New Roman" w:hAnsi="Times New Roman" w:cs="Times New Roman"/>
          <w:sz w:val="28"/>
          <w:szCs w:val="28"/>
        </w:rPr>
        <w:t>, систематически занимающихся физической культурой и спортом, в общей численности обучающихся составила в 2019 году 90,1%.К 2022 году ожидается увеличение данного показателя до 93,49%.</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 xml:space="preserve">Показатели увеличились по сравнению с 2019 годом, это связано с тем, что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популярными стали волейбол, настольный теннис, в  2017 году был внедрен  ВФСК  ГТО.</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VI. Жилищное строительство и обеспечение граждан жильем</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sz w:val="28"/>
          <w:szCs w:val="28"/>
        </w:rPr>
        <w:tab/>
        <w:t>За отчетный период введено в эксплуатацию 19 жилых домов, общей площадью 1470 кв</w:t>
      </w:r>
      <w:proofErr w:type="gramStart"/>
      <w:r w:rsidRPr="00034F84">
        <w:rPr>
          <w:rFonts w:ascii="Times New Roman" w:hAnsi="Times New Roman" w:cs="Times New Roman"/>
          <w:sz w:val="28"/>
          <w:szCs w:val="28"/>
        </w:rPr>
        <w:t>.м</w:t>
      </w:r>
      <w:proofErr w:type="gramEnd"/>
      <w:r w:rsidRPr="00034F84">
        <w:rPr>
          <w:rFonts w:ascii="Times New Roman" w:hAnsi="Times New Roman" w:cs="Times New Roman"/>
          <w:sz w:val="28"/>
          <w:szCs w:val="28"/>
        </w:rPr>
        <w:t xml:space="preserve"> (к 2018 году 90%), в том числе 19 индивидуальных жилых домов, построенных населением.</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24. Общая площадь жилых помещений, приходящаяся в среднем на одного жителя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Общая площадь жилых помещений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на 31.12.2019 года составляет 195,67 тыс.кв.м. В среднем на одного жителя района приходится 21,15 кв</w:t>
      </w:r>
      <w:proofErr w:type="gramStart"/>
      <w:r w:rsidRPr="00034F84">
        <w:rPr>
          <w:rFonts w:ascii="Times New Roman" w:hAnsi="Times New Roman" w:cs="Times New Roman"/>
          <w:sz w:val="28"/>
          <w:szCs w:val="28"/>
        </w:rPr>
        <w:t>.м</w:t>
      </w:r>
      <w:proofErr w:type="gramEnd"/>
      <w:r w:rsidRPr="00034F84">
        <w:rPr>
          <w:rFonts w:ascii="Times New Roman" w:hAnsi="Times New Roman" w:cs="Times New Roman"/>
          <w:sz w:val="28"/>
          <w:szCs w:val="28"/>
        </w:rPr>
        <w:t>етров жилых помещений, что на 0,75 кв.м. больше 2018 года.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Ежегодный ввод жилых помещений в 2020-2022 г. г. составляет 1,5 тыс.кв</w:t>
      </w:r>
      <w:proofErr w:type="gramStart"/>
      <w:r w:rsidRPr="00034F84">
        <w:rPr>
          <w:rFonts w:ascii="Times New Roman" w:hAnsi="Times New Roman" w:cs="Times New Roman"/>
          <w:sz w:val="28"/>
          <w:szCs w:val="28"/>
        </w:rPr>
        <w:t>.м</w:t>
      </w:r>
      <w:proofErr w:type="gramEnd"/>
      <w:r w:rsidRPr="00034F84">
        <w:rPr>
          <w:rFonts w:ascii="Times New Roman" w:hAnsi="Times New Roman" w:cs="Times New Roman"/>
          <w:sz w:val="28"/>
          <w:szCs w:val="28"/>
        </w:rPr>
        <w:t>етров.</w:t>
      </w:r>
    </w:p>
    <w:p w:rsidR="003D101E"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Таким образом, в связи с вводом в эксплуатацию новых жилых помещений и сокращением численности населения к  2022 году данный показатель составит 22,1 кв.м. жилья на одного жителя.</w:t>
      </w:r>
    </w:p>
    <w:p w:rsidR="00773D7E" w:rsidRPr="00034F84" w:rsidRDefault="00773D7E" w:rsidP="00034F84">
      <w:pPr>
        <w:autoSpaceDE w:val="0"/>
        <w:autoSpaceDN w:val="0"/>
        <w:adjustRightInd w:val="0"/>
        <w:spacing w:line="240" w:lineRule="auto"/>
        <w:ind w:firstLine="708"/>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27"/>
        <w:gridCol w:w="1276"/>
        <w:gridCol w:w="1134"/>
        <w:gridCol w:w="1134"/>
        <w:gridCol w:w="1275"/>
        <w:gridCol w:w="1276"/>
      </w:tblGrid>
      <w:tr w:rsidR="003D101E" w:rsidRPr="00034F84">
        <w:tc>
          <w:tcPr>
            <w:tcW w:w="9322" w:type="dxa"/>
            <w:gridSpan w:val="6"/>
            <w:tcBorders>
              <w:top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 xml:space="preserve">Общая площадь жилых помещений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Наименование показателя</w:t>
            </w:r>
          </w:p>
        </w:tc>
        <w:tc>
          <w:tcPr>
            <w:tcW w:w="6095" w:type="dxa"/>
            <w:gridSpan w:val="5"/>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Значение показателя</w:t>
            </w:r>
          </w:p>
        </w:tc>
      </w:tr>
      <w:tr w:rsidR="003D101E" w:rsidRPr="00034F84">
        <w:trPr>
          <w:trHeight w:val="944"/>
        </w:trPr>
        <w:tc>
          <w:tcPr>
            <w:tcW w:w="3227" w:type="dxa"/>
            <w:tcBorders>
              <w:top w:val="single" w:sz="4" w:space="0" w:color="auto"/>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 факт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 факт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оценка</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2022</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hanging="284"/>
              <w:contextualSpacing/>
              <w:rPr>
                <w:rFonts w:ascii="Times New Roman" w:hAnsi="Times New Roman" w:cs="Times New Roman"/>
                <w:sz w:val="28"/>
                <w:szCs w:val="28"/>
              </w:rPr>
            </w:pPr>
            <w:r w:rsidRPr="00034F84">
              <w:rPr>
                <w:rFonts w:ascii="Times New Roman" w:hAnsi="Times New Roman" w:cs="Times New Roman"/>
                <w:sz w:val="28"/>
                <w:szCs w:val="28"/>
              </w:rPr>
              <w:t xml:space="preserve">    1. Общая площадь жилых помещений, всего на конец года, (тыс.кв.м.)</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194,2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195,67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197,11</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198,68</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199,87</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2.Численность населения на конец года, (чел)</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9487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9253</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9168</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9097</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9044</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3. Общая площадь жилых помещений, приходящаяся в среднем </w:t>
            </w:r>
            <w:r w:rsidRPr="00034F84">
              <w:rPr>
                <w:rFonts w:ascii="Times New Roman" w:hAnsi="Times New Roman" w:cs="Times New Roman"/>
                <w:sz w:val="28"/>
                <w:szCs w:val="28"/>
              </w:rPr>
              <w:br/>
              <w:t xml:space="preserve">на одного жителя, </w:t>
            </w:r>
            <w:r w:rsidRPr="00034F84">
              <w:rPr>
                <w:rFonts w:ascii="Times New Roman" w:hAnsi="Times New Roman" w:cs="Times New Roman"/>
                <w:sz w:val="28"/>
                <w:szCs w:val="28"/>
              </w:rPr>
              <w:lastRenderedPageBreak/>
              <w:t>(кв.м.), (стр. 1/ стр.2*1000)</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lastRenderedPageBreak/>
              <w:t>20,47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21,15</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21,5</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21,84</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22,1</w:t>
            </w:r>
          </w:p>
        </w:tc>
      </w:tr>
    </w:tbl>
    <w:p w:rsidR="00773D7E" w:rsidRDefault="00773D7E"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24.1. в том числе </w:t>
      </w:r>
      <w:proofErr w:type="gramStart"/>
      <w:r w:rsidRPr="00034F84">
        <w:rPr>
          <w:rFonts w:ascii="Times New Roman" w:hAnsi="Times New Roman" w:cs="Times New Roman"/>
          <w:b/>
          <w:bCs/>
          <w:color w:val="000000"/>
          <w:sz w:val="28"/>
          <w:szCs w:val="28"/>
        </w:rPr>
        <w:t>введенная</w:t>
      </w:r>
      <w:proofErr w:type="gramEnd"/>
      <w:r w:rsidRPr="00034F84">
        <w:rPr>
          <w:rFonts w:ascii="Times New Roman" w:hAnsi="Times New Roman" w:cs="Times New Roman"/>
          <w:b/>
          <w:bCs/>
          <w:color w:val="000000"/>
          <w:sz w:val="28"/>
          <w:szCs w:val="28"/>
        </w:rPr>
        <w:t xml:space="preserve"> в действие за один год</w:t>
      </w:r>
    </w:p>
    <w:p w:rsidR="003D101E"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За отчетный период введено в эксплуатацию 1461 кв.м. в т.ч.  ИЖС – 19 жилых домов  общей площадью 1461 кв.м. На одного жителя приходится            0,16 кв.м. введенного за год жилья.</w:t>
      </w:r>
    </w:p>
    <w:p w:rsidR="00773D7E" w:rsidRPr="00034F84" w:rsidRDefault="00773D7E" w:rsidP="00034F84">
      <w:pPr>
        <w:autoSpaceDE w:val="0"/>
        <w:autoSpaceDN w:val="0"/>
        <w:adjustRightInd w:val="0"/>
        <w:spacing w:line="240" w:lineRule="auto"/>
        <w:ind w:firstLine="708"/>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27"/>
        <w:gridCol w:w="1134"/>
        <w:gridCol w:w="992"/>
        <w:gridCol w:w="1134"/>
        <w:gridCol w:w="1276"/>
        <w:gridCol w:w="1276"/>
      </w:tblGrid>
      <w:tr w:rsidR="003D101E" w:rsidRPr="00034F84">
        <w:tc>
          <w:tcPr>
            <w:tcW w:w="9039" w:type="dxa"/>
            <w:gridSpan w:val="6"/>
            <w:tcBorders>
              <w:top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Ввод жилья, кв. метров</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Наименование показателя</w:t>
            </w:r>
          </w:p>
        </w:tc>
        <w:tc>
          <w:tcPr>
            <w:tcW w:w="5812" w:type="dxa"/>
            <w:gridSpan w:val="5"/>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Значение показателя</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 факт</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 факт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оценка</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2022</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r>
      <w:tr w:rsidR="003D101E" w:rsidRPr="00034F84">
        <w:trPr>
          <w:trHeight w:val="972"/>
        </w:trPr>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1. Введено всего, кв</w:t>
            </w:r>
            <w:proofErr w:type="gramStart"/>
            <w:r w:rsidRPr="00034F84">
              <w:rPr>
                <w:rFonts w:ascii="Times New Roman" w:hAnsi="Times New Roman" w:cs="Times New Roman"/>
                <w:sz w:val="28"/>
                <w:szCs w:val="28"/>
              </w:rPr>
              <w:t>.м</w:t>
            </w:r>
            <w:proofErr w:type="gramEnd"/>
            <w:r w:rsidRPr="00034F84">
              <w:rPr>
                <w:rFonts w:ascii="Times New Roman" w:hAnsi="Times New Roman" w:cs="Times New Roman"/>
                <w:sz w:val="28"/>
                <w:szCs w:val="28"/>
              </w:rPr>
              <w:t xml:space="preserve"> (стр.1.1+1.2)</w:t>
            </w:r>
          </w:p>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1633</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1461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1.1. индивидуальное жилищное строительство, кв</w:t>
            </w:r>
            <w:proofErr w:type="gramStart"/>
            <w:r w:rsidRPr="00034F84">
              <w:rPr>
                <w:rFonts w:ascii="Times New Roman" w:hAnsi="Times New Roman" w:cs="Times New Roman"/>
                <w:sz w:val="28"/>
                <w:szCs w:val="28"/>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1633</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1461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1500</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1.2. многоквартирное строительство, кв</w:t>
            </w:r>
            <w:proofErr w:type="gramStart"/>
            <w:r w:rsidRPr="00034F84">
              <w:rPr>
                <w:rFonts w:ascii="Times New Roman" w:hAnsi="Times New Roman" w:cs="Times New Roman"/>
                <w:sz w:val="28"/>
                <w:szCs w:val="28"/>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2. </w:t>
            </w:r>
            <w:r w:rsidRPr="00034F84">
              <w:rPr>
                <w:rFonts w:ascii="Times New Roman" w:hAnsi="Times New Roman" w:cs="Times New Roman"/>
                <w:b/>
                <w:bCs/>
                <w:sz w:val="28"/>
                <w:szCs w:val="28"/>
              </w:rPr>
              <w:t>Среднегодовая</w:t>
            </w:r>
            <w:r w:rsidRPr="00034F84">
              <w:rPr>
                <w:rFonts w:ascii="Times New Roman" w:hAnsi="Times New Roman" w:cs="Times New Roman"/>
                <w:sz w:val="28"/>
                <w:szCs w:val="28"/>
              </w:rPr>
              <w:t xml:space="preserve"> численность постоянного населения городского округа (муниципального района), чел.</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9619</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9370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9211</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9133</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9071</w:t>
            </w:r>
          </w:p>
        </w:tc>
      </w:tr>
      <w:tr w:rsidR="003D101E" w:rsidRPr="00034F84">
        <w:tc>
          <w:tcPr>
            <w:tcW w:w="322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3. Общая площадь жилых помещений, введенная в действие за один год, приходящаяся в среднем на одного жителя (стр. 1/ стр.2)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0,17</w:t>
            </w:r>
          </w:p>
        </w:tc>
        <w:tc>
          <w:tcPr>
            <w:tcW w:w="992"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0,16</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0,16</w:t>
            </w:r>
          </w:p>
        </w:tc>
        <w:tc>
          <w:tcPr>
            <w:tcW w:w="1276"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0,16</w:t>
            </w:r>
          </w:p>
        </w:tc>
        <w:tc>
          <w:tcPr>
            <w:tcW w:w="1276"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0,17</w:t>
            </w:r>
          </w:p>
        </w:tc>
      </w:tr>
    </w:tbl>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25. Площадь земельных участков, предоставленных для строительства, в расчете на 10 тыс. человек населения</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В 2019 году площадь земельных участков предоставленных для строительства составила 9,4 га (30 участков), в том числе для жилищного строительства – 7,2 га (29 участков). Для строительства объектов, не являющихся объектами жилищного строительства:</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в 2019 году предоставлен земельный участок для строительства объекта дорожного сервиса на а/</w:t>
      </w:r>
      <w:proofErr w:type="spellStart"/>
      <w:r w:rsidRPr="00034F84">
        <w:rPr>
          <w:rFonts w:ascii="Times New Roman" w:hAnsi="Times New Roman" w:cs="Times New Roman"/>
          <w:sz w:val="28"/>
          <w:szCs w:val="28"/>
        </w:rPr>
        <w:t>д</w:t>
      </w:r>
      <w:proofErr w:type="spellEnd"/>
      <w:r w:rsidRPr="00034F84">
        <w:rPr>
          <w:rFonts w:ascii="Times New Roman" w:hAnsi="Times New Roman" w:cs="Times New Roman"/>
          <w:sz w:val="28"/>
          <w:szCs w:val="28"/>
        </w:rPr>
        <w:t xml:space="preserve">  «Байкал» 2,2 га,</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в 2020-2022 гг. планируется предоставление земельных участков по 2 га строительство объекта дорожного сервиса с</w:t>
      </w:r>
      <w:proofErr w:type="gramStart"/>
      <w:r w:rsidRPr="00034F84">
        <w:rPr>
          <w:rFonts w:ascii="Times New Roman" w:hAnsi="Times New Roman" w:cs="Times New Roman"/>
          <w:sz w:val="28"/>
          <w:szCs w:val="28"/>
        </w:rPr>
        <w:t>.К</w:t>
      </w:r>
      <w:proofErr w:type="gramEnd"/>
      <w:r w:rsidRPr="00034F84">
        <w:rPr>
          <w:rFonts w:ascii="Times New Roman" w:hAnsi="Times New Roman" w:cs="Times New Roman"/>
          <w:sz w:val="28"/>
          <w:szCs w:val="28"/>
        </w:rPr>
        <w:t>расный Завод, строительство объекта дорожного сервиса   с.Боготол.</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47"/>
        <w:gridCol w:w="1758"/>
        <w:gridCol w:w="1354"/>
        <w:gridCol w:w="870"/>
        <w:gridCol w:w="801"/>
        <w:gridCol w:w="1631"/>
      </w:tblGrid>
      <w:tr w:rsidR="003D101E" w:rsidRPr="00034F84">
        <w:tc>
          <w:tcPr>
            <w:tcW w:w="9761" w:type="dxa"/>
            <w:gridSpan w:val="6"/>
            <w:tcBorders>
              <w:top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b/>
                <w:bCs/>
                <w:sz w:val="28"/>
                <w:szCs w:val="28"/>
              </w:rPr>
              <w:t>Площадь предоставленных земельных участков</w:t>
            </w:r>
            <w:r w:rsidRPr="00034F84">
              <w:rPr>
                <w:rFonts w:ascii="Times New Roman" w:hAnsi="Times New Roman" w:cs="Times New Roman"/>
                <w:sz w:val="28"/>
                <w:szCs w:val="28"/>
              </w:rPr>
              <w:t xml:space="preserve">, </w:t>
            </w:r>
            <w:proofErr w:type="gramStart"/>
            <w:r w:rsidRPr="00034F84">
              <w:rPr>
                <w:rFonts w:ascii="Times New Roman" w:hAnsi="Times New Roman" w:cs="Times New Roman"/>
                <w:sz w:val="28"/>
                <w:szCs w:val="28"/>
              </w:rPr>
              <w:t>Га</w:t>
            </w:r>
            <w:proofErr w:type="gramEnd"/>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Наименование показателя</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предыдущий период</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отчетный период</w:t>
            </w:r>
          </w:p>
        </w:tc>
        <w:tc>
          <w:tcPr>
            <w:tcW w:w="3302" w:type="dxa"/>
            <w:gridSpan w:val="3"/>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3D101E" w:rsidP="00034F84">
            <w:pPr>
              <w:autoSpaceDE w:val="0"/>
              <w:autoSpaceDN w:val="0"/>
              <w:adjustRightInd w:val="0"/>
              <w:spacing w:line="240" w:lineRule="auto"/>
              <w:contextualSpacing/>
              <w:rPr>
                <w:rFonts w:ascii="Times New Roman" w:hAnsi="Times New Roman" w:cs="Times New Roman"/>
                <w:sz w:val="28"/>
                <w:szCs w:val="28"/>
              </w:rPr>
            </w:pP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2022</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Площадь земельных участков, предоставленных для строительства, всего:</w:t>
            </w:r>
          </w:p>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      в том числе</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7,5</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9,4</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для жилищного строительства (в т.ч. для   ИЖС)</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7,4</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7,2</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7,0</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7,0</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7,0</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для комплексного освоения в целях жилищного строительства</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для строительства объектов, не являющихся объектами жилищного строительства</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0,1</w:t>
            </w:r>
          </w:p>
          <w:p w:rsidR="003D101E" w:rsidRPr="00034F84" w:rsidRDefault="003D101E" w:rsidP="00034F84">
            <w:pPr>
              <w:autoSpaceDE w:val="0"/>
              <w:autoSpaceDN w:val="0"/>
              <w:adjustRightInd w:val="0"/>
              <w:spacing w:line="240" w:lineRule="auto"/>
              <w:contextualSpacing/>
              <w:jc w:val="cente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2,2</w:t>
            </w:r>
          </w:p>
          <w:p w:rsidR="003D101E" w:rsidRPr="00034F84" w:rsidRDefault="003D101E" w:rsidP="00034F84">
            <w:pPr>
              <w:autoSpaceDE w:val="0"/>
              <w:autoSpaceDN w:val="0"/>
              <w:adjustRightInd w:val="0"/>
              <w:spacing w:line="240" w:lineRule="auto"/>
              <w:contextualSpacing/>
              <w:jc w:val="center"/>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Площадь земельных участков, предоставленных для строительства в расчете на 10 тыс. человек населения, - всего</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7,8</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10,03</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9,77</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9,85</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9,92</w:t>
            </w: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на 10 тыс. человек населения</w:t>
            </w:r>
          </w:p>
        </w:tc>
        <w:tc>
          <w:tcPr>
            <w:tcW w:w="1758"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7,69</w:t>
            </w:r>
          </w:p>
        </w:tc>
        <w:tc>
          <w:tcPr>
            <w:tcW w:w="135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7,68</w:t>
            </w:r>
          </w:p>
        </w:tc>
        <w:tc>
          <w:tcPr>
            <w:tcW w:w="870"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7,60</w:t>
            </w:r>
          </w:p>
        </w:tc>
        <w:tc>
          <w:tcPr>
            <w:tcW w:w="801"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7,66</w:t>
            </w:r>
          </w:p>
        </w:tc>
        <w:tc>
          <w:tcPr>
            <w:tcW w:w="1631"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7,72</w:t>
            </w:r>
          </w:p>
          <w:p w:rsidR="003D101E" w:rsidRPr="00034F84" w:rsidRDefault="003D101E" w:rsidP="00034F84">
            <w:pPr>
              <w:autoSpaceDE w:val="0"/>
              <w:autoSpaceDN w:val="0"/>
              <w:adjustRightInd w:val="0"/>
              <w:spacing w:line="240" w:lineRule="auto"/>
              <w:contextualSpacing/>
              <w:jc w:val="center"/>
              <w:rPr>
                <w:rFonts w:ascii="Times New Roman" w:hAnsi="Times New Roman" w:cs="Times New Roman"/>
                <w:sz w:val="28"/>
                <w:szCs w:val="28"/>
              </w:rPr>
            </w:pPr>
          </w:p>
        </w:tc>
      </w:tr>
      <w:tr w:rsidR="003D101E" w:rsidRPr="00034F84">
        <w:tc>
          <w:tcPr>
            <w:tcW w:w="3347"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ind w:left="284"/>
              <w:contextualSpacing/>
              <w:rPr>
                <w:rFonts w:ascii="Times New Roman" w:hAnsi="Times New Roman" w:cs="Times New Roman"/>
                <w:sz w:val="28"/>
                <w:szCs w:val="28"/>
              </w:rPr>
            </w:pPr>
            <w:r w:rsidRPr="00034F84">
              <w:rPr>
                <w:rFonts w:ascii="Times New Roman" w:hAnsi="Times New Roman" w:cs="Times New Roman"/>
                <w:sz w:val="28"/>
                <w:szCs w:val="28"/>
              </w:rPr>
              <w:lastRenderedPageBreak/>
              <w:t xml:space="preserve">Среднегодовая численность постоянного населения по </w:t>
            </w:r>
            <w:proofErr w:type="spellStart"/>
            <w:r w:rsidRPr="00034F84">
              <w:rPr>
                <w:rFonts w:ascii="Times New Roman" w:hAnsi="Times New Roman" w:cs="Times New Roman"/>
                <w:sz w:val="28"/>
                <w:szCs w:val="28"/>
              </w:rPr>
              <w:t>Боготольскому</w:t>
            </w:r>
            <w:proofErr w:type="spellEnd"/>
            <w:r w:rsidRPr="00034F84">
              <w:rPr>
                <w:rFonts w:ascii="Times New Roman" w:hAnsi="Times New Roman" w:cs="Times New Roman"/>
                <w:sz w:val="28"/>
                <w:szCs w:val="28"/>
              </w:rPr>
              <w:t xml:space="preserve"> району (чел.)</w:t>
            </w:r>
          </w:p>
        </w:tc>
        <w:tc>
          <w:tcPr>
            <w:tcW w:w="1758"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9619</w:t>
            </w:r>
          </w:p>
        </w:tc>
        <w:tc>
          <w:tcPr>
            <w:tcW w:w="135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9370</w:t>
            </w:r>
          </w:p>
        </w:tc>
        <w:tc>
          <w:tcPr>
            <w:tcW w:w="870"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9211</w:t>
            </w:r>
          </w:p>
        </w:tc>
        <w:tc>
          <w:tcPr>
            <w:tcW w:w="801"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9133 </w:t>
            </w:r>
          </w:p>
        </w:tc>
        <w:tc>
          <w:tcPr>
            <w:tcW w:w="1631"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9071</w:t>
            </w:r>
          </w:p>
        </w:tc>
      </w:tr>
    </w:tbl>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Площадь земельных участков предоставленных для жилищного строительства, индивидуального строительства  в 2019 году составила 7,68 га на 10 тыс</w:t>
      </w:r>
      <w:proofErr w:type="gramStart"/>
      <w:r w:rsidRPr="00034F84">
        <w:rPr>
          <w:rFonts w:ascii="Times New Roman" w:hAnsi="Times New Roman" w:cs="Times New Roman"/>
          <w:sz w:val="28"/>
          <w:szCs w:val="28"/>
        </w:rPr>
        <w:t>.ч</w:t>
      </w:r>
      <w:proofErr w:type="gramEnd"/>
      <w:r w:rsidRPr="00034F84">
        <w:rPr>
          <w:rFonts w:ascii="Times New Roman" w:hAnsi="Times New Roman" w:cs="Times New Roman"/>
          <w:sz w:val="28"/>
          <w:szCs w:val="28"/>
        </w:rPr>
        <w:t>еловек населения района  (на 0,01 га меньше значения показателя 2018 года). В прогнозном периоде 2020-2022 гг. этот показатель составит 7,6 га, 7,66 га и 7,72 га соответственно.</w:t>
      </w:r>
    </w:p>
    <w:p w:rsidR="003D101E" w:rsidRPr="00034F84" w:rsidRDefault="00834B54" w:rsidP="00034F84">
      <w:pPr>
        <w:autoSpaceDE w:val="0"/>
        <w:autoSpaceDN w:val="0"/>
        <w:adjustRightInd w:val="0"/>
        <w:spacing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Для комплексного освоения в целях жилищного строительства 2019 году земельные участки не предоставлялись.</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26. Площадь земельных участков, предоставленных для строительства, в отношении которых </w:t>
      </w:r>
      <w:proofErr w:type="gramStart"/>
      <w:r w:rsidRPr="00034F84">
        <w:rPr>
          <w:rFonts w:ascii="Times New Roman" w:hAnsi="Times New Roman" w:cs="Times New Roman"/>
          <w:b/>
          <w:bCs/>
          <w:color w:val="000000"/>
          <w:sz w:val="28"/>
          <w:szCs w:val="28"/>
        </w:rPr>
        <w:t>с даты принятия</w:t>
      </w:r>
      <w:proofErr w:type="gramEnd"/>
      <w:r w:rsidRPr="00034F84">
        <w:rPr>
          <w:rFonts w:ascii="Times New Roman" w:hAnsi="Times New Roman" w:cs="Times New Roman"/>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26.1. объектов жилищного строительства - в течение 3 лет</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Земельных участков, предоставленных для строительства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Pr="00034F84">
        <w:rPr>
          <w:rFonts w:ascii="Times New Roman" w:hAnsi="Times New Roman" w:cs="Times New Roman"/>
          <w:sz w:val="28"/>
          <w:szCs w:val="28"/>
        </w:rPr>
        <w:t>и</w:t>
      </w:r>
      <w:proofErr w:type="gramEnd"/>
      <w:r w:rsidRPr="00034F84">
        <w:rPr>
          <w:rFonts w:ascii="Times New Roman" w:hAnsi="Times New Roman" w:cs="Times New Roman"/>
          <w:sz w:val="28"/>
          <w:szCs w:val="28"/>
        </w:rPr>
        <w:t xml:space="preserve"> 3 лет в районе нет.</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26.2. иных объектов капитального строительства - в течение 5 лет</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Также отсутствуют земельные участки, предоставленные для строительства иных объектов,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Pr="00034F84">
        <w:rPr>
          <w:rFonts w:ascii="Times New Roman" w:hAnsi="Times New Roman" w:cs="Times New Roman"/>
          <w:sz w:val="28"/>
          <w:szCs w:val="28"/>
        </w:rPr>
        <w:t>и</w:t>
      </w:r>
      <w:proofErr w:type="gramEnd"/>
      <w:r w:rsidRPr="00034F84">
        <w:rPr>
          <w:rFonts w:ascii="Times New Roman" w:hAnsi="Times New Roman" w:cs="Times New Roman"/>
          <w:sz w:val="28"/>
          <w:szCs w:val="28"/>
        </w:rPr>
        <w:t xml:space="preserve"> 5 лет.</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VII. Жилищно-коммунальное хозяйство</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27.Доля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3D101E" w:rsidRPr="00034F84" w:rsidRDefault="00834B54" w:rsidP="00034F84">
      <w:pPr>
        <w:autoSpaceDE w:val="0"/>
        <w:autoSpaceDN w:val="0"/>
        <w:adjustRightInd w:val="0"/>
        <w:spacing w:line="240" w:lineRule="auto"/>
        <w:ind w:firstLine="708"/>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w:t>
      </w:r>
      <w:r w:rsidRPr="00034F84">
        <w:rPr>
          <w:rFonts w:ascii="Times New Roman" w:hAnsi="Times New Roman" w:cs="Times New Roman"/>
          <w:sz w:val="28"/>
          <w:szCs w:val="28"/>
        </w:rPr>
        <w:lastRenderedPageBreak/>
        <w:t>в общем числе многоквартирных домов, в которых собственники помещений должны выбрать способ управления данными домами составляет 100%.</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28.Доля организаций коммунального комплекса, осуществляющих производство товаров, оказание услуг по </w:t>
      </w:r>
      <w:proofErr w:type="spellStart"/>
      <w:r w:rsidRPr="00034F84">
        <w:rPr>
          <w:rFonts w:ascii="Times New Roman" w:hAnsi="Times New Roman" w:cs="Times New Roman"/>
          <w:b/>
          <w:bCs/>
          <w:color w:val="000000"/>
          <w:sz w:val="28"/>
          <w:szCs w:val="28"/>
        </w:rPr>
        <w:t>вод</w:t>
      </w:r>
      <w:proofErr w:type="gramStart"/>
      <w:r w:rsidRPr="00034F84">
        <w:rPr>
          <w:rFonts w:ascii="Times New Roman" w:hAnsi="Times New Roman" w:cs="Times New Roman"/>
          <w:b/>
          <w:bCs/>
          <w:color w:val="000000"/>
          <w:sz w:val="28"/>
          <w:szCs w:val="28"/>
        </w:rPr>
        <w:t>о-</w:t>
      </w:r>
      <w:proofErr w:type="gramEnd"/>
      <w:r w:rsidRPr="00034F84">
        <w:rPr>
          <w:rFonts w:ascii="Times New Roman" w:hAnsi="Times New Roman" w:cs="Times New Roman"/>
          <w:b/>
          <w:bCs/>
          <w:color w:val="000000"/>
          <w:sz w:val="28"/>
          <w:szCs w:val="28"/>
        </w:rPr>
        <w:t>,тепло-,газо</w:t>
      </w:r>
      <w:proofErr w:type="spellEnd"/>
      <w:r w:rsidRPr="00034F84">
        <w:rPr>
          <w:rFonts w:ascii="Times New Roman" w:hAnsi="Times New Roman" w:cs="Times New Roman"/>
          <w:b/>
          <w:bCs/>
          <w:color w:val="000000"/>
          <w:sz w:val="28"/>
          <w:szCs w:val="28"/>
        </w:rPr>
        <w:t>-,</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электроснабжению,</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водоотведению,</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очистке сточных вод,</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утилизации(захоронению)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Российской Федерации и (или)городского округа(муниципального района) в уставном капитале которых составляет не более 25 процентов, в общем числе организаций коммунального комплекса,</w:t>
      </w:r>
      <w:r w:rsidR="00773D7E">
        <w:rPr>
          <w:rFonts w:ascii="Times New Roman" w:hAnsi="Times New Roman" w:cs="Times New Roman"/>
          <w:b/>
          <w:bCs/>
          <w:color w:val="000000"/>
          <w:sz w:val="28"/>
          <w:szCs w:val="28"/>
        </w:rPr>
        <w:t xml:space="preserve"> </w:t>
      </w:r>
      <w:r w:rsidRPr="00034F84">
        <w:rPr>
          <w:rFonts w:ascii="Times New Roman" w:hAnsi="Times New Roman" w:cs="Times New Roman"/>
          <w:b/>
          <w:bCs/>
          <w:color w:val="000000"/>
          <w:sz w:val="28"/>
          <w:szCs w:val="28"/>
        </w:rPr>
        <w:t>осуществляющих свою деятельность на территории городского округ</w:t>
      </w:r>
      <w:proofErr w:type="gramStart"/>
      <w:r w:rsidRPr="00034F84">
        <w:rPr>
          <w:rFonts w:ascii="Times New Roman" w:hAnsi="Times New Roman" w:cs="Times New Roman"/>
          <w:b/>
          <w:bCs/>
          <w:color w:val="000000"/>
          <w:sz w:val="28"/>
          <w:szCs w:val="28"/>
        </w:rPr>
        <w:t>а(</w:t>
      </w:r>
      <w:proofErr w:type="gramEnd"/>
      <w:r w:rsidRPr="00034F84">
        <w:rPr>
          <w:rFonts w:ascii="Times New Roman" w:hAnsi="Times New Roman" w:cs="Times New Roman"/>
          <w:b/>
          <w:bCs/>
          <w:color w:val="000000"/>
          <w:sz w:val="28"/>
          <w:szCs w:val="28"/>
        </w:rPr>
        <w:t>муниципального района)</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sz w:val="28"/>
          <w:szCs w:val="28"/>
        </w:rPr>
        <w:tab/>
        <w:t xml:space="preserve">Доля организаций коммунального комплекса, осуществляющих производство товаров, оказание услуг по </w:t>
      </w:r>
      <w:proofErr w:type="spellStart"/>
      <w:r w:rsidRPr="00034F84">
        <w:rPr>
          <w:rFonts w:ascii="Times New Roman" w:hAnsi="Times New Roman" w:cs="Times New Roman"/>
          <w:sz w:val="28"/>
          <w:szCs w:val="28"/>
        </w:rPr>
        <w:t>водо</w:t>
      </w:r>
      <w:proofErr w:type="spellEnd"/>
      <w:r w:rsidRPr="00034F84">
        <w:rPr>
          <w:rFonts w:ascii="Times New Roman" w:hAnsi="Times New Roman" w:cs="Times New Roman"/>
          <w:sz w:val="28"/>
          <w:szCs w:val="28"/>
        </w:rPr>
        <w:t>-, тепл</w:t>
      </w:r>
      <w:proofErr w:type="gramStart"/>
      <w:r w:rsidRPr="00034F84">
        <w:rPr>
          <w:rFonts w:ascii="Times New Roman" w:hAnsi="Times New Roman" w:cs="Times New Roman"/>
          <w:sz w:val="28"/>
          <w:szCs w:val="28"/>
        </w:rPr>
        <w:t>о-</w:t>
      </w:r>
      <w:proofErr w:type="gramEnd"/>
      <w:r w:rsidRPr="00034F84">
        <w:rPr>
          <w:rFonts w:ascii="Times New Roman" w:hAnsi="Times New Roman" w:cs="Times New Roman"/>
          <w:sz w:val="28"/>
          <w:szCs w:val="28"/>
        </w:rPr>
        <w:t xml:space="preserve">, </w:t>
      </w:r>
      <w:proofErr w:type="spellStart"/>
      <w:r w:rsidRPr="00034F84">
        <w:rPr>
          <w:rFonts w:ascii="Times New Roman" w:hAnsi="Times New Roman" w:cs="Times New Roman"/>
          <w:sz w:val="28"/>
          <w:szCs w:val="28"/>
        </w:rPr>
        <w:t>газо</w:t>
      </w:r>
      <w:proofErr w:type="spellEnd"/>
      <w:r w:rsidRPr="00034F84">
        <w:rPr>
          <w:rFonts w:ascii="Times New Roman" w:hAnsi="Times New Roman" w:cs="Times New Roman"/>
          <w:sz w:val="28"/>
          <w:szCs w:val="28"/>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034F84">
        <w:rPr>
          <w:rFonts w:ascii="Times New Roman" w:hAnsi="Times New Roman" w:cs="Times New Roman"/>
          <w:sz w:val="28"/>
          <w:szCs w:val="28"/>
        </w:rPr>
        <w:t>осуществляющих</w:t>
      </w:r>
      <w:proofErr w:type="gramEnd"/>
      <w:r w:rsidRPr="00034F84">
        <w:rPr>
          <w:rFonts w:ascii="Times New Roman" w:hAnsi="Times New Roman" w:cs="Times New Roman"/>
          <w:sz w:val="28"/>
          <w:szCs w:val="28"/>
        </w:rPr>
        <w:t xml:space="preserve"> свою деятельность на территории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составила 66,7%, к 2022 году планируется  довести этот показатель до 83.3% .</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На 31.12.2019 г. в отношении 50% земельных участков, на которых расположены многоквартирные дома, осуществлен земельный кадастровый учет. К 2022 году ожидаемый показатель составит 100%..Снижение  количества земельных участков произошло в связи с внесением изменений в </w:t>
      </w:r>
      <w:proofErr w:type="spellStart"/>
      <w:r w:rsidRPr="00034F84">
        <w:rPr>
          <w:rFonts w:ascii="Times New Roman" w:hAnsi="Times New Roman" w:cs="Times New Roman"/>
          <w:sz w:val="28"/>
          <w:szCs w:val="28"/>
        </w:rPr>
        <w:t>СНиП</w:t>
      </w:r>
      <w:proofErr w:type="spellEnd"/>
      <w:r w:rsidRPr="00034F84">
        <w:rPr>
          <w:rFonts w:ascii="Times New Roman" w:hAnsi="Times New Roman" w:cs="Times New Roman"/>
          <w:sz w:val="28"/>
          <w:szCs w:val="28"/>
        </w:rPr>
        <w:t xml:space="preserve"> 31-02-2001</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r>
    </w:p>
    <w:tbl>
      <w:tblPr>
        <w:tblW w:w="0" w:type="auto"/>
        <w:tblInd w:w="88" w:type="dxa"/>
        <w:tblLayout w:type="fixed"/>
        <w:tblLook w:val="0000"/>
      </w:tblPr>
      <w:tblGrid>
        <w:gridCol w:w="594"/>
        <w:gridCol w:w="3962"/>
        <w:gridCol w:w="989"/>
        <w:gridCol w:w="854"/>
        <w:gridCol w:w="847"/>
        <w:gridCol w:w="851"/>
        <w:gridCol w:w="851"/>
        <w:gridCol w:w="851"/>
      </w:tblGrid>
      <w:tr w:rsidR="003D101E" w:rsidRPr="00034F84">
        <w:trPr>
          <w:trHeight w:val="315"/>
        </w:trPr>
        <w:tc>
          <w:tcPr>
            <w:tcW w:w="59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 xml:space="preserve">№ </w:t>
            </w:r>
            <w:proofErr w:type="spellStart"/>
            <w:proofErr w:type="gramStart"/>
            <w:r w:rsidRPr="00034F84">
              <w:rPr>
                <w:rFonts w:ascii="Times New Roman" w:hAnsi="Times New Roman" w:cs="Times New Roman"/>
                <w:sz w:val="28"/>
                <w:szCs w:val="28"/>
              </w:rPr>
              <w:t>п</w:t>
            </w:r>
            <w:proofErr w:type="spellEnd"/>
            <w:proofErr w:type="gramEnd"/>
            <w:r w:rsidRPr="00034F84">
              <w:rPr>
                <w:rFonts w:ascii="Times New Roman" w:hAnsi="Times New Roman" w:cs="Times New Roman"/>
                <w:sz w:val="28"/>
                <w:szCs w:val="28"/>
              </w:rPr>
              <w:t>/</w:t>
            </w:r>
            <w:proofErr w:type="spellStart"/>
            <w:r w:rsidRPr="00034F84">
              <w:rPr>
                <w:rFonts w:ascii="Times New Roman" w:hAnsi="Times New Roman" w:cs="Times New Roman"/>
                <w:sz w:val="28"/>
                <w:szCs w:val="28"/>
              </w:rPr>
              <w:t>п</w:t>
            </w:r>
            <w:proofErr w:type="spellEnd"/>
          </w:p>
        </w:tc>
        <w:tc>
          <w:tcPr>
            <w:tcW w:w="3962"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Показатель</w:t>
            </w:r>
          </w:p>
        </w:tc>
        <w:tc>
          <w:tcPr>
            <w:tcW w:w="989"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2016</w:t>
            </w:r>
          </w:p>
        </w:tc>
        <w:tc>
          <w:tcPr>
            <w:tcW w:w="854"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2017</w:t>
            </w:r>
          </w:p>
        </w:tc>
        <w:tc>
          <w:tcPr>
            <w:tcW w:w="847"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w:t>
            </w:r>
          </w:p>
        </w:tc>
        <w:tc>
          <w:tcPr>
            <w:tcW w:w="851"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w:t>
            </w:r>
          </w:p>
        </w:tc>
        <w:tc>
          <w:tcPr>
            <w:tcW w:w="851"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w:t>
            </w:r>
          </w:p>
        </w:tc>
        <w:tc>
          <w:tcPr>
            <w:tcW w:w="851" w:type="dxa"/>
            <w:tcBorders>
              <w:top w:val="single" w:sz="4" w:space="0" w:color="auto"/>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w:t>
            </w:r>
          </w:p>
        </w:tc>
      </w:tr>
      <w:tr w:rsidR="003D101E" w:rsidRPr="00034F84">
        <w:trPr>
          <w:trHeight w:val="1278"/>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759</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759</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35</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r>
      <w:tr w:rsidR="003D101E" w:rsidRPr="00034F84">
        <w:trPr>
          <w:trHeight w:val="480"/>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1.1</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дома блокированной застройки</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738</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736</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14</w:t>
            </w: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r>
      <w:tr w:rsidR="003D101E" w:rsidRPr="00034F84">
        <w:trPr>
          <w:trHeight w:val="765"/>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lastRenderedPageBreak/>
              <w:t>1.2</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многоквартирные дома, имеющие помещения общего пользования</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r>
      <w:tr w:rsidR="003D101E" w:rsidRPr="00034F84">
        <w:trPr>
          <w:trHeight w:val="1575"/>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141</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151</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24</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11</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15</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r>
      <w:tr w:rsidR="003D101E" w:rsidRPr="00034F84">
        <w:trPr>
          <w:trHeight w:val="420"/>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дома блокированной застройки</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120</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130</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jc w:val="right"/>
              <w:rPr>
                <w:rFonts w:ascii="Times New Roman" w:hAnsi="Times New Roman" w:cs="Times New Roman"/>
                <w:sz w:val="28"/>
                <w:szCs w:val="28"/>
              </w:rPr>
            </w:pPr>
          </w:p>
        </w:tc>
      </w:tr>
      <w:tr w:rsidR="003D101E" w:rsidRPr="00034F84">
        <w:trPr>
          <w:trHeight w:val="765"/>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многоквартирные дома, имеющие помещения общего пользования</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21</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11</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15</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22</w:t>
            </w:r>
          </w:p>
        </w:tc>
      </w:tr>
      <w:tr w:rsidR="003D101E" w:rsidRPr="00034F84">
        <w:trPr>
          <w:trHeight w:val="1326"/>
        </w:trPr>
        <w:tc>
          <w:tcPr>
            <w:tcW w:w="594" w:type="dxa"/>
            <w:tcBorders>
              <w:top w:val="nil"/>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3</w:t>
            </w:r>
          </w:p>
        </w:tc>
        <w:tc>
          <w:tcPr>
            <w:tcW w:w="3962"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989"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18,57</w:t>
            </w:r>
          </w:p>
        </w:tc>
        <w:tc>
          <w:tcPr>
            <w:tcW w:w="854"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19,9</w:t>
            </w:r>
          </w:p>
        </w:tc>
        <w:tc>
          <w:tcPr>
            <w:tcW w:w="847"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68,6</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50</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68,2</w:t>
            </w:r>
          </w:p>
        </w:tc>
        <w:tc>
          <w:tcPr>
            <w:tcW w:w="851" w:type="dxa"/>
            <w:tcBorders>
              <w:top w:val="nil"/>
              <w:left w:val="nil"/>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rPr>
            </w:pPr>
            <w:r w:rsidRPr="00034F84">
              <w:rPr>
                <w:rFonts w:ascii="Times New Roman" w:hAnsi="Times New Roman" w:cs="Times New Roman"/>
                <w:sz w:val="28"/>
                <w:szCs w:val="28"/>
              </w:rPr>
              <w:t>100</w:t>
            </w:r>
          </w:p>
        </w:tc>
      </w:tr>
    </w:tbl>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30. </w:t>
      </w:r>
      <w:proofErr w:type="gramStart"/>
      <w:r w:rsidRPr="00034F84">
        <w:rPr>
          <w:rFonts w:ascii="Times New Roman" w:hAnsi="Times New Roman" w:cs="Times New Roman"/>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3D101E" w:rsidRDefault="00773D7E" w:rsidP="00034F84">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834B54" w:rsidRPr="00034F84">
        <w:rPr>
          <w:rFonts w:ascii="Times New Roman" w:hAnsi="Times New Roman" w:cs="Times New Roman"/>
          <w:sz w:val="28"/>
          <w:szCs w:val="28"/>
        </w:rPr>
        <w:t>В 2019 г.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по договорам социального найма составила 4,76 % - 1 малоимущая семья из 21, состоящих в очереди, улучшили жилищные условия по договорам социального найма.</w:t>
      </w:r>
      <w:proofErr w:type="gramEnd"/>
      <w:r w:rsidR="00834B54" w:rsidRPr="00034F84">
        <w:rPr>
          <w:rFonts w:ascii="Times New Roman" w:hAnsi="Times New Roman" w:cs="Times New Roman"/>
          <w:sz w:val="28"/>
          <w:szCs w:val="28"/>
        </w:rPr>
        <w:tab/>
        <w:t>Численность населения (семей), состоящего на учете в качестве нуждающегося в жилых помещениях по договорам социального найма</w:t>
      </w:r>
      <w:proofErr w:type="gramStart"/>
      <w:r w:rsidR="00834B54" w:rsidRPr="00034F84">
        <w:rPr>
          <w:rFonts w:ascii="Times New Roman" w:hAnsi="Times New Roman" w:cs="Times New Roman"/>
          <w:sz w:val="28"/>
          <w:szCs w:val="28"/>
        </w:rPr>
        <w:t xml:space="preserve"> :</w:t>
      </w:r>
      <w:proofErr w:type="gramEnd"/>
    </w:p>
    <w:p w:rsidR="00773D7E" w:rsidRDefault="00773D7E" w:rsidP="00034F84">
      <w:pPr>
        <w:autoSpaceDE w:val="0"/>
        <w:autoSpaceDN w:val="0"/>
        <w:adjustRightInd w:val="0"/>
        <w:spacing w:line="240" w:lineRule="auto"/>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963"/>
        <w:gridCol w:w="964"/>
        <w:gridCol w:w="964"/>
        <w:gridCol w:w="964"/>
        <w:gridCol w:w="964"/>
      </w:tblGrid>
      <w:tr w:rsidR="003D101E" w:rsidRPr="00034F84">
        <w:tc>
          <w:tcPr>
            <w:tcW w:w="4962" w:type="dxa"/>
            <w:vMerge w:val="restart"/>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Показатель</w:t>
            </w:r>
          </w:p>
        </w:tc>
        <w:tc>
          <w:tcPr>
            <w:tcW w:w="4819" w:type="dxa"/>
            <w:gridSpan w:val="5"/>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Значения показателя</w:t>
            </w:r>
          </w:p>
        </w:tc>
      </w:tr>
      <w:tr w:rsidR="003D101E" w:rsidRPr="00034F84">
        <w:tc>
          <w:tcPr>
            <w:tcW w:w="4962" w:type="dxa"/>
            <w:vMerge/>
            <w:tcBorders>
              <w:top w:val="single" w:sz="4" w:space="0" w:color="auto"/>
              <w:bottom w:val="single" w:sz="4" w:space="0" w:color="auto"/>
              <w:right w:val="single" w:sz="4" w:space="0" w:color="auto"/>
            </w:tcBorders>
          </w:tcPr>
          <w:p w:rsidR="003D101E" w:rsidRPr="00034F84" w:rsidRDefault="003D101E" w:rsidP="00034F84">
            <w:pPr>
              <w:autoSpaceDE w:val="0"/>
              <w:autoSpaceDN w:val="0"/>
              <w:adjustRightInd w:val="0"/>
              <w:spacing w:after="0" w:line="240" w:lineRule="auto"/>
              <w:contextualSpacing/>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2018</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факт</w:t>
            </w:r>
          </w:p>
        </w:tc>
        <w:tc>
          <w:tcPr>
            <w:tcW w:w="96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2019</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факт</w:t>
            </w:r>
          </w:p>
        </w:tc>
        <w:tc>
          <w:tcPr>
            <w:tcW w:w="96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2020</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оценка</w:t>
            </w:r>
          </w:p>
        </w:tc>
        <w:tc>
          <w:tcPr>
            <w:tcW w:w="964" w:type="dxa"/>
            <w:tcBorders>
              <w:top w:val="single" w:sz="4" w:space="0" w:color="auto"/>
              <w:left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2021</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c>
          <w:tcPr>
            <w:tcW w:w="964" w:type="dxa"/>
            <w:tcBorders>
              <w:top w:val="single" w:sz="4" w:space="0" w:color="auto"/>
              <w:left w:val="single" w:sz="4" w:space="0" w:color="auto"/>
              <w:bottom w:val="single" w:sz="4" w:space="0" w:color="auto"/>
            </w:tcBorders>
          </w:tcPr>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2022</w:t>
            </w:r>
          </w:p>
          <w:p w:rsidR="003D101E" w:rsidRPr="00034F84" w:rsidRDefault="00834B54" w:rsidP="00034F84">
            <w:pPr>
              <w:autoSpaceDE w:val="0"/>
              <w:autoSpaceDN w:val="0"/>
              <w:adjustRightInd w:val="0"/>
              <w:spacing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прогноз</w:t>
            </w:r>
          </w:p>
        </w:tc>
      </w:tr>
      <w:tr w:rsidR="003D101E" w:rsidRPr="00034F84">
        <w:tc>
          <w:tcPr>
            <w:tcW w:w="4962"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 xml:space="preserve">1. Численность населения (семей), получившего жилые помещения и улучшившего жилищные условия </w:t>
            </w:r>
            <w:r w:rsidRPr="00034F84">
              <w:rPr>
                <w:rFonts w:ascii="Times New Roman" w:hAnsi="Times New Roman" w:cs="Times New Roman"/>
                <w:b/>
                <w:bCs/>
                <w:sz w:val="28"/>
                <w:szCs w:val="28"/>
              </w:rPr>
              <w:t>по договору социального найма</w:t>
            </w:r>
            <w:r w:rsidRPr="00034F84">
              <w:rPr>
                <w:rFonts w:ascii="Times New Roman" w:hAnsi="Times New Roman" w:cs="Times New Roman"/>
                <w:sz w:val="28"/>
                <w:szCs w:val="28"/>
              </w:rPr>
              <w:t xml:space="preserve"> </w:t>
            </w:r>
            <w:r w:rsidRPr="00034F84">
              <w:rPr>
                <w:rFonts w:ascii="Times New Roman" w:hAnsi="Times New Roman" w:cs="Times New Roman"/>
                <w:sz w:val="28"/>
                <w:szCs w:val="28"/>
              </w:rPr>
              <w:br/>
              <w:t>в отчетном году, чел.</w:t>
            </w:r>
          </w:p>
        </w:tc>
        <w:tc>
          <w:tcPr>
            <w:tcW w:w="963"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C621FB" w:rsidP="00034F84">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1</w:t>
            </w:r>
          </w:p>
        </w:tc>
      </w:tr>
      <w:tr w:rsidR="003D101E" w:rsidRPr="00034F84">
        <w:tc>
          <w:tcPr>
            <w:tcW w:w="4962"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2. Численность населения (семей), </w:t>
            </w:r>
            <w:r w:rsidRPr="00034F84">
              <w:rPr>
                <w:rFonts w:ascii="Times New Roman" w:hAnsi="Times New Roman" w:cs="Times New Roman"/>
                <w:sz w:val="28"/>
                <w:szCs w:val="28"/>
              </w:rPr>
              <w:lastRenderedPageBreak/>
              <w:t xml:space="preserve">состоящего </w:t>
            </w:r>
            <w:r w:rsidRPr="00034F84">
              <w:rPr>
                <w:rFonts w:ascii="Times New Roman" w:hAnsi="Times New Roman" w:cs="Times New Roman"/>
                <w:sz w:val="28"/>
                <w:szCs w:val="28"/>
              </w:rPr>
              <w:br/>
              <w:t xml:space="preserve">на учете в качестве нуждающегося в жилых помещениях </w:t>
            </w:r>
            <w:r w:rsidRPr="00034F84">
              <w:rPr>
                <w:rFonts w:ascii="Times New Roman" w:hAnsi="Times New Roman" w:cs="Times New Roman"/>
                <w:b/>
                <w:bCs/>
                <w:sz w:val="28"/>
                <w:szCs w:val="28"/>
              </w:rPr>
              <w:t>по договорам социального найма</w:t>
            </w:r>
            <w:r w:rsidRPr="00034F84">
              <w:rPr>
                <w:rFonts w:ascii="Times New Roman" w:hAnsi="Times New Roman" w:cs="Times New Roman"/>
                <w:sz w:val="28"/>
                <w:szCs w:val="28"/>
              </w:rPr>
              <w:t xml:space="preserve"> </w:t>
            </w:r>
            <w:r w:rsidRPr="00034F84">
              <w:rPr>
                <w:rFonts w:ascii="Times New Roman" w:hAnsi="Times New Roman" w:cs="Times New Roman"/>
                <w:b/>
                <w:bCs/>
                <w:sz w:val="28"/>
                <w:szCs w:val="28"/>
              </w:rPr>
              <w:t>на конец прошлого года</w:t>
            </w:r>
            <w:r w:rsidRPr="00034F84">
              <w:rPr>
                <w:rFonts w:ascii="Times New Roman" w:hAnsi="Times New Roman" w:cs="Times New Roman"/>
                <w:sz w:val="28"/>
                <w:szCs w:val="28"/>
              </w:rPr>
              <w:t>,</w:t>
            </w:r>
            <w:r w:rsidRPr="00034F84">
              <w:rPr>
                <w:rFonts w:ascii="Times New Roman" w:hAnsi="Times New Roman" w:cs="Times New Roman"/>
                <w:b/>
                <w:bCs/>
                <w:sz w:val="28"/>
                <w:szCs w:val="28"/>
              </w:rPr>
              <w:t xml:space="preserve"> </w:t>
            </w:r>
            <w:r w:rsidRPr="00034F84">
              <w:rPr>
                <w:rFonts w:ascii="Times New Roman" w:hAnsi="Times New Roman" w:cs="Times New Roman"/>
                <w:sz w:val="28"/>
                <w:szCs w:val="28"/>
              </w:rPr>
              <w:t>чел. *</w:t>
            </w:r>
          </w:p>
        </w:tc>
        <w:tc>
          <w:tcPr>
            <w:tcW w:w="963"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lastRenderedPageBreak/>
              <w:t>17</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21</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w:t>
            </w:r>
          </w:p>
        </w:tc>
        <w:tc>
          <w:tcPr>
            <w:tcW w:w="96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20</w:t>
            </w:r>
          </w:p>
        </w:tc>
      </w:tr>
      <w:tr w:rsidR="003D101E" w:rsidRPr="00034F84">
        <w:tc>
          <w:tcPr>
            <w:tcW w:w="4962" w:type="dxa"/>
            <w:tcBorders>
              <w:top w:val="single" w:sz="4" w:space="0" w:color="auto"/>
              <w:bottom w:val="single" w:sz="4" w:space="0" w:color="auto"/>
              <w:right w:val="single" w:sz="4" w:space="0" w:color="auto"/>
            </w:tcBorders>
          </w:tcPr>
          <w:p w:rsidR="003D101E" w:rsidRPr="00034F84" w:rsidRDefault="00834B54" w:rsidP="00034F84">
            <w:pPr>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lastRenderedPageBreak/>
              <w:t xml:space="preserve">3. </w:t>
            </w:r>
            <w:proofErr w:type="gramStart"/>
            <w:r w:rsidRPr="00034F84">
              <w:rPr>
                <w:rFonts w:ascii="Times New Roman" w:hAnsi="Times New Roman" w:cs="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963"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5,88</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C621FB" w:rsidP="00034F84">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5</w:t>
            </w:r>
          </w:p>
        </w:tc>
        <w:tc>
          <w:tcPr>
            <w:tcW w:w="96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rPr>
            </w:pPr>
            <w:r w:rsidRPr="00034F84">
              <w:rPr>
                <w:rFonts w:ascii="Times New Roman" w:hAnsi="Times New Roman" w:cs="Times New Roman"/>
                <w:sz w:val="28"/>
                <w:szCs w:val="28"/>
              </w:rPr>
              <w:t>5</w:t>
            </w:r>
          </w:p>
        </w:tc>
      </w:tr>
    </w:tbl>
    <w:p w:rsidR="00773D7E" w:rsidRDefault="00773D7E" w:rsidP="00034F84">
      <w:pPr>
        <w:autoSpaceDE w:val="0"/>
        <w:autoSpaceDN w:val="0"/>
        <w:adjustRightInd w:val="0"/>
        <w:spacing w:line="240" w:lineRule="auto"/>
        <w:contextualSpacing/>
        <w:jc w:val="both"/>
        <w:rPr>
          <w:rFonts w:ascii="Times New Roman" w:hAnsi="Times New Roman" w:cs="Times New Roman"/>
          <w:sz w:val="28"/>
          <w:szCs w:val="28"/>
        </w:rPr>
      </w:pPr>
    </w:p>
    <w:p w:rsidR="003D101E" w:rsidRPr="00034F84" w:rsidRDefault="00773D7E" w:rsidP="00034F84">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34B54" w:rsidRPr="00034F84">
        <w:rPr>
          <w:rFonts w:ascii="Times New Roman" w:hAnsi="Times New Roman" w:cs="Times New Roman"/>
          <w:sz w:val="28"/>
          <w:szCs w:val="28"/>
        </w:rPr>
        <w:t xml:space="preserve">Планируемое значение показателя в 2020-2022 годах составит – 5 % (при численности населения, состоящего на учете 20 семей и численности населения, получившего жилые помещения в количестве 1-й семьи). </w:t>
      </w:r>
    </w:p>
    <w:p w:rsidR="003D101E" w:rsidRPr="00034F84" w:rsidRDefault="00834B54" w:rsidP="00034F84">
      <w:pPr>
        <w:autoSpaceDE w:val="0"/>
        <w:autoSpaceDN w:val="0"/>
        <w:adjustRightInd w:val="0"/>
        <w:spacing w:line="240" w:lineRule="auto"/>
        <w:ind w:firstLine="72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В </w:t>
      </w:r>
      <w:proofErr w:type="spellStart"/>
      <w:r w:rsidRPr="00034F84">
        <w:rPr>
          <w:rFonts w:ascii="Times New Roman" w:hAnsi="Times New Roman" w:cs="Times New Roman"/>
          <w:sz w:val="28"/>
          <w:szCs w:val="28"/>
        </w:rPr>
        <w:t>Боготольском</w:t>
      </w:r>
      <w:proofErr w:type="spellEnd"/>
      <w:r w:rsidRPr="00034F84">
        <w:rPr>
          <w:rFonts w:ascii="Times New Roman" w:hAnsi="Times New Roman" w:cs="Times New Roman"/>
          <w:sz w:val="28"/>
          <w:szCs w:val="28"/>
        </w:rPr>
        <w:t xml:space="preserve"> районе в 2019 году действовали следующие муниципальные программы:</w:t>
      </w:r>
    </w:p>
    <w:p w:rsidR="003D101E" w:rsidRPr="00034F84" w:rsidRDefault="00834B54" w:rsidP="00034F84">
      <w:pPr>
        <w:autoSpaceDE w:val="0"/>
        <w:autoSpaceDN w:val="0"/>
        <w:adjustRightInd w:val="0"/>
        <w:spacing w:line="240" w:lineRule="auto"/>
        <w:ind w:firstLine="720"/>
        <w:contextualSpacing/>
        <w:jc w:val="both"/>
        <w:rPr>
          <w:rFonts w:ascii="Times New Roman" w:hAnsi="Times New Roman" w:cs="Times New Roman"/>
          <w:sz w:val="28"/>
          <w:szCs w:val="28"/>
        </w:rPr>
      </w:pPr>
      <w:r w:rsidRPr="00034F84">
        <w:rPr>
          <w:rFonts w:ascii="Times New Roman" w:hAnsi="Times New Roman" w:cs="Times New Roman"/>
          <w:sz w:val="28"/>
          <w:szCs w:val="28"/>
        </w:rPr>
        <w:t xml:space="preserve">- муниципальная программа «Обеспечение доступным и комфортным жильем граждан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w:t>
      </w:r>
    </w:p>
    <w:p w:rsidR="003D101E" w:rsidRPr="00034F84" w:rsidRDefault="00834B54" w:rsidP="00034F84">
      <w:pPr>
        <w:autoSpaceDE w:val="0"/>
        <w:autoSpaceDN w:val="0"/>
        <w:adjustRightInd w:val="0"/>
        <w:spacing w:line="240" w:lineRule="auto"/>
        <w:ind w:firstLine="720"/>
        <w:contextualSpacing/>
        <w:jc w:val="both"/>
        <w:rPr>
          <w:rFonts w:ascii="Times New Roman" w:hAnsi="Times New Roman" w:cs="Times New Roman"/>
          <w:kern w:val="2"/>
          <w:sz w:val="28"/>
          <w:szCs w:val="28"/>
        </w:rPr>
      </w:pPr>
      <w:r w:rsidRPr="00034F84">
        <w:rPr>
          <w:rFonts w:ascii="Times New Roman" w:hAnsi="Times New Roman" w:cs="Times New Roman"/>
          <w:sz w:val="28"/>
          <w:szCs w:val="28"/>
        </w:rPr>
        <w:t xml:space="preserve">по подпрограмме 4 </w:t>
      </w:r>
      <w:r w:rsidRPr="00034F84">
        <w:rPr>
          <w:rFonts w:ascii="Times New Roman" w:hAnsi="Times New Roman" w:cs="Times New Roman"/>
          <w:kern w:val="2"/>
          <w:sz w:val="28"/>
          <w:szCs w:val="28"/>
        </w:rPr>
        <w:t>«</w:t>
      </w:r>
      <w:r w:rsidRPr="00034F84">
        <w:rPr>
          <w:rFonts w:ascii="Times New Roman" w:hAnsi="Times New Roman" w:cs="Times New Roman"/>
          <w:kern w:val="36"/>
          <w:sz w:val="28"/>
          <w:szCs w:val="28"/>
        </w:rPr>
        <w:t xml:space="preserve">Осуществление полномочий переданных сельскими советами </w:t>
      </w:r>
      <w:proofErr w:type="spellStart"/>
      <w:r w:rsidRPr="00034F84">
        <w:rPr>
          <w:rFonts w:ascii="Times New Roman" w:hAnsi="Times New Roman" w:cs="Times New Roman"/>
          <w:kern w:val="36"/>
          <w:sz w:val="28"/>
          <w:szCs w:val="28"/>
        </w:rPr>
        <w:t>Боготольского</w:t>
      </w:r>
      <w:proofErr w:type="spellEnd"/>
      <w:r w:rsidRPr="00034F84">
        <w:rPr>
          <w:rFonts w:ascii="Times New Roman" w:hAnsi="Times New Roman" w:cs="Times New Roman"/>
          <w:kern w:val="36"/>
          <w:sz w:val="28"/>
          <w:szCs w:val="28"/>
        </w:rPr>
        <w:t xml:space="preserve"> района</w:t>
      </w:r>
      <w:r w:rsidRPr="00034F84">
        <w:rPr>
          <w:rFonts w:ascii="Times New Roman" w:hAnsi="Times New Roman" w:cs="Times New Roman"/>
          <w:color w:val="000000"/>
          <w:sz w:val="28"/>
          <w:szCs w:val="28"/>
        </w:rPr>
        <w:t xml:space="preserve">  по созданию условий для обеспечения доступным и комфортным жильем граждан </w:t>
      </w:r>
      <w:proofErr w:type="spellStart"/>
      <w:r w:rsidRPr="00034F84">
        <w:rPr>
          <w:rFonts w:ascii="Times New Roman" w:hAnsi="Times New Roman" w:cs="Times New Roman"/>
          <w:color w:val="000000"/>
          <w:sz w:val="28"/>
          <w:szCs w:val="28"/>
        </w:rPr>
        <w:t>Боготольского</w:t>
      </w:r>
      <w:proofErr w:type="spellEnd"/>
      <w:r w:rsidRPr="00034F84">
        <w:rPr>
          <w:rFonts w:ascii="Times New Roman" w:hAnsi="Times New Roman" w:cs="Times New Roman"/>
          <w:color w:val="000000"/>
          <w:sz w:val="28"/>
          <w:szCs w:val="28"/>
        </w:rPr>
        <w:t xml:space="preserve"> района</w:t>
      </w:r>
      <w:r w:rsidRPr="00034F84">
        <w:rPr>
          <w:rFonts w:ascii="Times New Roman" w:hAnsi="Times New Roman" w:cs="Times New Roman"/>
          <w:kern w:val="2"/>
          <w:sz w:val="28"/>
          <w:szCs w:val="28"/>
        </w:rPr>
        <w:t>» в 2019 году улучшили жилищные условия 2 молодые семьи.</w:t>
      </w:r>
    </w:p>
    <w:p w:rsidR="003D101E" w:rsidRPr="00034F84" w:rsidRDefault="00834B54" w:rsidP="00034F84">
      <w:pPr>
        <w:autoSpaceDE w:val="0"/>
        <w:autoSpaceDN w:val="0"/>
        <w:adjustRightInd w:val="0"/>
        <w:spacing w:line="240" w:lineRule="auto"/>
        <w:ind w:firstLine="720"/>
        <w:contextualSpacing/>
        <w:jc w:val="both"/>
        <w:rPr>
          <w:rFonts w:ascii="Times New Roman" w:hAnsi="Times New Roman" w:cs="Times New Roman"/>
          <w:sz w:val="28"/>
          <w:szCs w:val="28"/>
        </w:rPr>
      </w:pPr>
      <w:r w:rsidRPr="00034F84">
        <w:rPr>
          <w:rFonts w:ascii="Times New Roman" w:hAnsi="Times New Roman" w:cs="Times New Roman"/>
          <w:kern w:val="2"/>
          <w:sz w:val="28"/>
          <w:szCs w:val="28"/>
        </w:rPr>
        <w:t xml:space="preserve">В 2019 году на территории района отсутствовало жилье, официально признанное аварийным и внесенное в перечень аварийного жилья, </w:t>
      </w:r>
      <w:proofErr w:type="gramStart"/>
      <w:r w:rsidRPr="00034F84">
        <w:rPr>
          <w:rFonts w:ascii="Times New Roman" w:hAnsi="Times New Roman" w:cs="Times New Roman"/>
          <w:kern w:val="2"/>
          <w:sz w:val="28"/>
          <w:szCs w:val="28"/>
        </w:rPr>
        <w:t>следовательно</w:t>
      </w:r>
      <w:proofErr w:type="gramEnd"/>
      <w:r w:rsidRPr="00034F84">
        <w:rPr>
          <w:rFonts w:ascii="Times New Roman" w:hAnsi="Times New Roman" w:cs="Times New Roman"/>
          <w:kern w:val="2"/>
          <w:sz w:val="28"/>
          <w:szCs w:val="28"/>
        </w:rPr>
        <w:t xml:space="preserve"> заявки на вступление в государственную программу по переселению граждан из аварийного жилья не подавались.</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Жилье в районе строится в большей доле индивидуальными застройщиками за счет собственных и заемных средств.</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VIII. Организация муниципального управления</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r>
      <w:proofErr w:type="gramStart"/>
      <w:r w:rsidRPr="00034F84">
        <w:rPr>
          <w:rFonts w:ascii="Times New Roman" w:hAnsi="Times New Roman" w:cs="Times New Roman"/>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района (без учета субвенций) составила в 2019 году 10,96%, что ниже уровня 2018 года на 1,26%. В 2020 году рост показателя к уровню 2019 года составил </w:t>
      </w:r>
      <w:r w:rsidRPr="00034F84">
        <w:rPr>
          <w:rFonts w:ascii="Times New Roman" w:hAnsi="Times New Roman" w:cs="Times New Roman"/>
          <w:sz w:val="28"/>
          <w:szCs w:val="28"/>
        </w:rPr>
        <w:lastRenderedPageBreak/>
        <w:t>25,36%, что связано с запланированным ростом собственной доходной базы (3,1 млн</w:t>
      </w:r>
      <w:proofErr w:type="gramEnd"/>
      <w:r w:rsidRPr="00034F84">
        <w:rPr>
          <w:rFonts w:ascii="Times New Roman" w:hAnsi="Times New Roman" w:cs="Times New Roman"/>
          <w:sz w:val="28"/>
          <w:szCs w:val="28"/>
        </w:rPr>
        <w:t>. рублей).</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Ожидаемое увеличение показателя в 2021 и 2022г.г. связано, в первую очередь, с изменением объема Субсидий в общем объеме доходов консолидированного бюджета района (снижение от запланированных субсидий на 2020 год), и увеличением объема налоговых и неналоговых доходов в 2020 году на 0,20 млн. рублей, 2021 году на 1,01 млн. рублей.</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Организации муниципальной формы собственности, находящиеся в стадии банкротства, на территории муниципального района отсутствуют.</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b/>
          <w:bCs/>
          <w:color w:val="000000"/>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Не завершенного в установленные сроки строительства, осуществляемого за счет средств бюджета муниципального района на территории нет.</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В 2019 году кредиторская задолженность у муниципальных учреждений района отсутствует. Задолженности по заработной плате перед работниками бюджетной сферы нет.</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 xml:space="preserve">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2019 год вырос в сравнении с исполнением за 2018 год на 991,82 </w:t>
      </w:r>
      <w:proofErr w:type="gramStart"/>
      <w:r w:rsidRPr="00034F84">
        <w:rPr>
          <w:rFonts w:ascii="Times New Roman" w:hAnsi="Times New Roman" w:cs="Times New Roman"/>
          <w:sz w:val="28"/>
          <w:szCs w:val="28"/>
        </w:rPr>
        <w:t>рубль</w:t>
      </w:r>
      <w:proofErr w:type="gramEnd"/>
      <w:r w:rsidRPr="00034F84">
        <w:rPr>
          <w:rFonts w:ascii="Times New Roman" w:hAnsi="Times New Roman" w:cs="Times New Roman"/>
          <w:sz w:val="28"/>
          <w:szCs w:val="28"/>
        </w:rPr>
        <w:t xml:space="preserve"> и составили 6598,1 рублей.</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rPr>
      </w:pPr>
      <w:r w:rsidRPr="00034F84">
        <w:rPr>
          <w:rFonts w:ascii="Times New Roman" w:hAnsi="Times New Roman" w:cs="Times New Roman"/>
          <w:sz w:val="28"/>
          <w:szCs w:val="28"/>
        </w:rPr>
        <w:tab/>
        <w:t>В соответствие с запланированными расходами на 2020 год плановый показатель составит 6822,9руб. На 2021г. в связи с ростом инфляции с одной стороны и снижением численности населения района с другой стороны этот показатель запланирован в объеме 7149,5 руб., на 2022 год  в объеме 7486,3 руб.</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sz w:val="28"/>
          <w:szCs w:val="28"/>
        </w:rPr>
        <w:tab/>
        <w:t xml:space="preserve">Схема территориального планирования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утверждена Решением Совета депутатов от </w:t>
      </w:r>
      <w:r w:rsidR="002A7659">
        <w:rPr>
          <w:rFonts w:ascii="Times New Roman" w:hAnsi="Times New Roman" w:cs="Times New Roman"/>
          <w:sz w:val="28"/>
          <w:szCs w:val="28"/>
        </w:rPr>
        <w:t>08.</w:t>
      </w:r>
      <w:r w:rsidRPr="00034F84">
        <w:rPr>
          <w:rFonts w:ascii="Times New Roman" w:hAnsi="Times New Roman" w:cs="Times New Roman"/>
          <w:sz w:val="28"/>
          <w:szCs w:val="28"/>
        </w:rPr>
        <w:t>10.2010г.</w:t>
      </w:r>
      <w:r w:rsidR="002A7659">
        <w:rPr>
          <w:rFonts w:ascii="Times New Roman" w:hAnsi="Times New Roman" w:cs="Times New Roman"/>
          <w:sz w:val="28"/>
          <w:szCs w:val="28"/>
        </w:rPr>
        <w:t xml:space="preserve"> </w:t>
      </w:r>
      <w:r w:rsidRPr="00034F84">
        <w:rPr>
          <w:rFonts w:ascii="Times New Roman" w:hAnsi="Times New Roman" w:cs="Times New Roman"/>
          <w:sz w:val="28"/>
          <w:szCs w:val="28"/>
        </w:rPr>
        <w:t>№ 6-26.</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 xml:space="preserve">37. Удовлетворенность населения деятельностью местного самоуправления </w:t>
      </w:r>
      <w:r w:rsidRPr="00034F84">
        <w:rPr>
          <w:rFonts w:ascii="Times New Roman" w:hAnsi="Times New Roman" w:cs="Times New Roman"/>
          <w:b/>
          <w:bCs/>
          <w:color w:val="000000"/>
          <w:sz w:val="28"/>
          <w:szCs w:val="28"/>
        </w:rPr>
        <w:lastRenderedPageBreak/>
        <w:t>городского округа (муниципального района)</w:t>
      </w:r>
    </w:p>
    <w:p w:rsidR="003D101E" w:rsidRPr="00034F84" w:rsidRDefault="00834B54" w:rsidP="00034F8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Уровень удовлетворенности населения деятельностью органов местного самоуправления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в 2018 году составил  49,2 % (в 2018 г. 45,1 %). </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38. Среднегодовая численность постоянного населения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ab/>
        <w:t xml:space="preserve">Среднегодовая численность постоянного населения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за 2019 год составила 9370 чел. Предполагается, что в 2020 году данный показатель уменьшится на 159 человек и составит 9211 человек. </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rPr>
      </w:pPr>
      <w:r w:rsidRPr="00034F84">
        <w:rPr>
          <w:rFonts w:ascii="Times New Roman" w:hAnsi="Times New Roman" w:cs="Times New Roman"/>
          <w:sz w:val="28"/>
          <w:szCs w:val="28"/>
        </w:rPr>
        <w:t>На динамику численности населения в прогнозном периоде влияют демографические процессы, происходящие в предыдущем и текущем году. Определяющую роль здесь будет играть и трудовая миграция населения. Общая  убыль численности постоянного населения района в предстоящий трехлетний период составит 299 человек и в 2022 году достигнет 9071 человек.</w:t>
      </w:r>
    </w:p>
    <w:p w:rsidR="00773D7E" w:rsidRDefault="00773D7E" w:rsidP="00034F84">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034F84">
        <w:rPr>
          <w:rFonts w:ascii="Times New Roman" w:hAnsi="Times New Roman" w:cs="Times New Roman"/>
          <w:b/>
          <w:bCs/>
          <w:color w:val="000000"/>
          <w:sz w:val="28"/>
          <w:szCs w:val="28"/>
        </w:rPr>
        <w:t>IX. Энергосбережение и повышение энергетической эффективности</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34F84">
        <w:rPr>
          <w:rFonts w:ascii="Times New Roman" w:hAnsi="Times New Roman" w:cs="Times New Roman"/>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Удельная величина потребления энергетических ресурсов: тепловой энергии, холодной воды установлена по нормативам, так как в многоквартирных домах отсутствуют коллективные приборы учета. </w:t>
      </w: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Текущий показатель по холодной воде (39.4) увеличился по сравнению с 2018 годом, потому что увеличились нормативы потребления по холодному водоснабжению (население проводит воду в квартиры, изменился норматив потребления, жители многоквартирных домов имеют приусадебные участки, для полива которых, учет воды осуществляется через приборы </w:t>
      </w:r>
      <w:proofErr w:type="gramStart"/>
      <w:r w:rsidRPr="00034F84">
        <w:rPr>
          <w:rFonts w:ascii="Times New Roman" w:hAnsi="Times New Roman" w:cs="Times New Roman"/>
          <w:sz w:val="28"/>
          <w:szCs w:val="28"/>
          <w:u w:color="FF0000"/>
        </w:rPr>
        <w:t>учета</w:t>
      </w:r>
      <w:proofErr w:type="gramEnd"/>
      <w:r w:rsidRPr="00034F84">
        <w:rPr>
          <w:rFonts w:ascii="Times New Roman" w:hAnsi="Times New Roman" w:cs="Times New Roman"/>
          <w:sz w:val="28"/>
          <w:szCs w:val="28"/>
          <w:u w:color="FF0000"/>
        </w:rPr>
        <w:t xml:space="preserve"> установленные в квартирах). Численность, проживающих в МКД составляет 396 человек. В прогнозируемом периоде 2020-2022 годов показатель останется на уровне 2019 года.</w:t>
      </w:r>
    </w:p>
    <w:tbl>
      <w:tblPr>
        <w:tblW w:w="0" w:type="auto"/>
        <w:tblInd w:w="103" w:type="dxa"/>
        <w:tblLayout w:type="fixed"/>
        <w:tblLook w:val="0000"/>
      </w:tblPr>
      <w:tblGrid>
        <w:gridCol w:w="431"/>
        <w:gridCol w:w="2268"/>
        <w:gridCol w:w="992"/>
        <w:gridCol w:w="1134"/>
        <w:gridCol w:w="1134"/>
        <w:gridCol w:w="1134"/>
        <w:gridCol w:w="1276"/>
        <w:gridCol w:w="1240"/>
      </w:tblGrid>
      <w:tr w:rsidR="003D101E" w:rsidRPr="00773D7E" w:rsidTr="00773D7E">
        <w:trPr>
          <w:trHeight w:val="420"/>
        </w:trPr>
        <w:tc>
          <w:tcPr>
            <w:tcW w:w="431" w:type="dxa"/>
            <w:tcBorders>
              <w:top w:val="single" w:sz="4" w:space="0" w:color="auto"/>
              <w:left w:val="single" w:sz="4" w:space="0" w:color="auto"/>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w:t>
            </w:r>
          </w:p>
        </w:tc>
        <w:tc>
          <w:tcPr>
            <w:tcW w:w="2268"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Наименование показателя</w:t>
            </w:r>
          </w:p>
        </w:tc>
        <w:tc>
          <w:tcPr>
            <w:tcW w:w="992"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Единицы измерения</w:t>
            </w:r>
          </w:p>
        </w:tc>
        <w:tc>
          <w:tcPr>
            <w:tcW w:w="1134"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2018</w:t>
            </w:r>
          </w:p>
        </w:tc>
        <w:tc>
          <w:tcPr>
            <w:tcW w:w="1134"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2019 отчет</w:t>
            </w:r>
          </w:p>
        </w:tc>
        <w:tc>
          <w:tcPr>
            <w:tcW w:w="1134"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2020 оценка</w:t>
            </w:r>
          </w:p>
        </w:tc>
        <w:tc>
          <w:tcPr>
            <w:tcW w:w="1276"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2021 прогноз</w:t>
            </w:r>
          </w:p>
        </w:tc>
        <w:tc>
          <w:tcPr>
            <w:tcW w:w="1240"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b/>
                <w:bCs/>
                <w:sz w:val="26"/>
                <w:szCs w:val="26"/>
                <w:u w:color="FF0000"/>
              </w:rPr>
            </w:pPr>
            <w:r w:rsidRPr="00773D7E">
              <w:rPr>
                <w:rFonts w:ascii="Times New Roman" w:hAnsi="Times New Roman" w:cs="Times New Roman"/>
                <w:b/>
                <w:bCs/>
                <w:sz w:val="26"/>
                <w:szCs w:val="26"/>
                <w:u w:color="FF0000"/>
              </w:rPr>
              <w:t>2022 прогноз</w:t>
            </w:r>
          </w:p>
        </w:tc>
      </w:tr>
      <w:tr w:rsidR="003D101E" w:rsidRPr="00773D7E" w:rsidTr="00773D7E">
        <w:trPr>
          <w:trHeight w:val="450"/>
        </w:trPr>
        <w:tc>
          <w:tcPr>
            <w:tcW w:w="431" w:type="dxa"/>
            <w:tcBorders>
              <w:top w:val="nil"/>
              <w:left w:val="single" w:sz="4" w:space="0" w:color="auto"/>
              <w:bottom w:val="single" w:sz="4" w:space="0" w:color="auto"/>
              <w:right w:val="single" w:sz="4" w:space="0" w:color="auto"/>
            </w:tcBorders>
            <w:vAlign w:val="center"/>
          </w:tcPr>
          <w:p w:rsidR="003D101E" w:rsidRPr="00773D7E" w:rsidRDefault="003D101E" w:rsidP="00034F84">
            <w:pPr>
              <w:autoSpaceDE w:val="0"/>
              <w:autoSpaceDN w:val="0"/>
              <w:adjustRightInd w:val="0"/>
              <w:spacing w:after="0" w:line="240" w:lineRule="auto"/>
              <w:contextualSpacing/>
              <w:rPr>
                <w:rFonts w:ascii="Times New Roman" w:hAnsi="Times New Roman" w:cs="Times New Roman"/>
                <w:sz w:val="26"/>
                <w:szCs w:val="26"/>
                <w:u w:color="FF0000"/>
              </w:rPr>
            </w:pPr>
          </w:p>
        </w:tc>
        <w:tc>
          <w:tcPr>
            <w:tcW w:w="2268" w:type="dxa"/>
            <w:tcBorders>
              <w:top w:val="nil"/>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sz w:val="26"/>
                <w:szCs w:val="26"/>
                <w:u w:color="FF0000"/>
              </w:rPr>
            </w:pPr>
            <w:r w:rsidRPr="00773D7E">
              <w:rPr>
                <w:rFonts w:ascii="Times New Roman" w:hAnsi="Times New Roman" w:cs="Times New Roman"/>
                <w:sz w:val="26"/>
                <w:szCs w:val="26"/>
                <w:u w:color="FF0000"/>
              </w:rPr>
              <w:t>холодная вода</w:t>
            </w:r>
          </w:p>
        </w:tc>
        <w:tc>
          <w:tcPr>
            <w:tcW w:w="992" w:type="dxa"/>
            <w:tcBorders>
              <w:top w:val="nil"/>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куб</w:t>
            </w:r>
            <w:proofErr w:type="gramStart"/>
            <w:r w:rsidRPr="00773D7E">
              <w:rPr>
                <w:rFonts w:ascii="Times New Roman" w:hAnsi="Times New Roman" w:cs="Times New Roman"/>
                <w:sz w:val="26"/>
                <w:szCs w:val="26"/>
                <w:u w:color="FF0000"/>
              </w:rPr>
              <w:t>.м</w:t>
            </w:r>
            <w:proofErr w:type="gramEnd"/>
            <w:r w:rsidRPr="00773D7E">
              <w:rPr>
                <w:rFonts w:ascii="Times New Roman" w:hAnsi="Times New Roman" w:cs="Times New Roman"/>
                <w:sz w:val="26"/>
                <w:szCs w:val="26"/>
                <w:u w:color="FF0000"/>
              </w:rPr>
              <w:t>етров на 1 проживающего</w:t>
            </w:r>
          </w:p>
        </w:tc>
        <w:tc>
          <w:tcPr>
            <w:tcW w:w="1134" w:type="dxa"/>
            <w:tcBorders>
              <w:top w:val="single" w:sz="4" w:space="0" w:color="auto"/>
              <w:left w:val="nil"/>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41,57</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42,3</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42,3</w:t>
            </w:r>
          </w:p>
        </w:tc>
        <w:tc>
          <w:tcPr>
            <w:tcW w:w="1276"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42,3</w:t>
            </w:r>
          </w:p>
        </w:tc>
        <w:tc>
          <w:tcPr>
            <w:tcW w:w="1240"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42,3</w:t>
            </w:r>
          </w:p>
        </w:tc>
      </w:tr>
      <w:tr w:rsidR="003D101E" w:rsidRPr="00773D7E" w:rsidTr="00773D7E">
        <w:trPr>
          <w:trHeight w:val="450"/>
        </w:trPr>
        <w:tc>
          <w:tcPr>
            <w:tcW w:w="431" w:type="dxa"/>
            <w:tcBorders>
              <w:top w:val="single" w:sz="4" w:space="0" w:color="auto"/>
              <w:left w:val="single" w:sz="4" w:space="0" w:color="auto"/>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sz w:val="26"/>
                <w:szCs w:val="26"/>
                <w:u w:color="FF0000"/>
              </w:rPr>
            </w:pPr>
            <w:r w:rsidRPr="00773D7E">
              <w:rPr>
                <w:rFonts w:ascii="Times New Roman" w:hAnsi="Times New Roman" w:cs="Times New Roman"/>
                <w:sz w:val="26"/>
                <w:szCs w:val="26"/>
                <w:u w:color="FF0000"/>
              </w:rPr>
              <w:t> </w:t>
            </w:r>
          </w:p>
        </w:tc>
        <w:tc>
          <w:tcPr>
            <w:tcW w:w="2268"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sz w:val="26"/>
                <w:szCs w:val="26"/>
                <w:u w:color="FF0000"/>
              </w:rPr>
            </w:pPr>
            <w:r w:rsidRPr="00773D7E">
              <w:rPr>
                <w:rFonts w:ascii="Times New Roman" w:hAnsi="Times New Roman" w:cs="Times New Roman"/>
                <w:sz w:val="26"/>
                <w:szCs w:val="26"/>
                <w:u w:color="FF0000"/>
              </w:rPr>
              <w:t xml:space="preserve">объем потребления воды </w:t>
            </w:r>
            <w:r w:rsidRPr="00773D7E">
              <w:rPr>
                <w:rFonts w:ascii="Times New Roman" w:hAnsi="Times New Roman" w:cs="Times New Roman"/>
                <w:sz w:val="26"/>
                <w:szCs w:val="26"/>
                <w:u w:color="FF0000"/>
              </w:rPr>
              <w:lastRenderedPageBreak/>
              <w:t>(холодной) в многоквартирных домах</w:t>
            </w:r>
          </w:p>
        </w:tc>
        <w:tc>
          <w:tcPr>
            <w:tcW w:w="992" w:type="dxa"/>
            <w:tcBorders>
              <w:top w:val="single" w:sz="4" w:space="0" w:color="auto"/>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lastRenderedPageBreak/>
              <w:t>куб</w:t>
            </w:r>
            <w:proofErr w:type="gramStart"/>
            <w:r w:rsidRPr="00773D7E">
              <w:rPr>
                <w:rFonts w:ascii="Times New Roman" w:hAnsi="Times New Roman" w:cs="Times New Roman"/>
                <w:sz w:val="26"/>
                <w:szCs w:val="26"/>
                <w:u w:color="FF0000"/>
              </w:rPr>
              <w:t>.м</w:t>
            </w:r>
            <w:proofErr w:type="gramEnd"/>
          </w:p>
        </w:tc>
        <w:tc>
          <w:tcPr>
            <w:tcW w:w="1134" w:type="dxa"/>
            <w:tcBorders>
              <w:top w:val="single" w:sz="4" w:space="0" w:color="auto"/>
              <w:left w:val="nil"/>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15297, 0</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16750,8</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widowControl w:val="0"/>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16750,8</w:t>
            </w:r>
          </w:p>
        </w:tc>
        <w:tc>
          <w:tcPr>
            <w:tcW w:w="1276"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16750,8</w:t>
            </w:r>
          </w:p>
        </w:tc>
        <w:tc>
          <w:tcPr>
            <w:tcW w:w="1240"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16750,8</w:t>
            </w:r>
          </w:p>
        </w:tc>
      </w:tr>
      <w:tr w:rsidR="003D101E" w:rsidRPr="00773D7E" w:rsidTr="00773D7E">
        <w:trPr>
          <w:trHeight w:val="675"/>
        </w:trPr>
        <w:tc>
          <w:tcPr>
            <w:tcW w:w="431" w:type="dxa"/>
            <w:tcBorders>
              <w:top w:val="nil"/>
              <w:left w:val="single" w:sz="4" w:space="0" w:color="auto"/>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sz w:val="26"/>
                <w:szCs w:val="26"/>
                <w:u w:color="FF0000"/>
              </w:rPr>
            </w:pPr>
            <w:r w:rsidRPr="00773D7E">
              <w:rPr>
                <w:rFonts w:ascii="Times New Roman" w:hAnsi="Times New Roman" w:cs="Times New Roman"/>
                <w:sz w:val="26"/>
                <w:szCs w:val="26"/>
                <w:u w:color="FF0000"/>
              </w:rPr>
              <w:lastRenderedPageBreak/>
              <w:t> </w:t>
            </w:r>
          </w:p>
        </w:tc>
        <w:tc>
          <w:tcPr>
            <w:tcW w:w="2268" w:type="dxa"/>
            <w:tcBorders>
              <w:top w:val="nil"/>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rPr>
                <w:rFonts w:ascii="Times New Roman" w:hAnsi="Times New Roman" w:cs="Times New Roman"/>
                <w:sz w:val="26"/>
                <w:szCs w:val="26"/>
                <w:u w:color="FF0000"/>
              </w:rPr>
            </w:pPr>
            <w:proofErr w:type="gramStart"/>
            <w:r w:rsidRPr="00773D7E">
              <w:rPr>
                <w:rFonts w:ascii="Times New Roman" w:hAnsi="Times New Roman" w:cs="Times New Roman"/>
                <w:sz w:val="26"/>
                <w:szCs w:val="26"/>
                <w:u w:color="FF0000"/>
              </w:rPr>
              <w:t>число проживающих в многоквартирных домах, которым отпущен соответствующий энергетический ресурс</w:t>
            </w:r>
            <w:proofErr w:type="gramEnd"/>
          </w:p>
        </w:tc>
        <w:tc>
          <w:tcPr>
            <w:tcW w:w="992" w:type="dxa"/>
            <w:tcBorders>
              <w:top w:val="nil"/>
              <w:left w:val="nil"/>
              <w:bottom w:val="single" w:sz="4" w:space="0" w:color="auto"/>
              <w:right w:val="single" w:sz="4" w:space="0" w:color="auto"/>
            </w:tcBorders>
            <w:vAlign w:val="center"/>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человек</w:t>
            </w:r>
          </w:p>
        </w:tc>
        <w:tc>
          <w:tcPr>
            <w:tcW w:w="1134" w:type="dxa"/>
            <w:tcBorders>
              <w:top w:val="single" w:sz="4" w:space="0" w:color="auto"/>
              <w:left w:val="nil"/>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368</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396</w:t>
            </w:r>
          </w:p>
        </w:tc>
        <w:tc>
          <w:tcPr>
            <w:tcW w:w="1134"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396</w:t>
            </w:r>
          </w:p>
        </w:tc>
        <w:tc>
          <w:tcPr>
            <w:tcW w:w="1276"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396</w:t>
            </w:r>
          </w:p>
        </w:tc>
        <w:tc>
          <w:tcPr>
            <w:tcW w:w="1240" w:type="dxa"/>
            <w:tcBorders>
              <w:top w:val="single" w:sz="4" w:space="0" w:color="auto"/>
              <w:left w:val="single" w:sz="4" w:space="0" w:color="auto"/>
              <w:bottom w:val="single" w:sz="4" w:space="0" w:color="auto"/>
              <w:right w:val="single" w:sz="4" w:space="0" w:color="auto"/>
            </w:tcBorders>
            <w:vAlign w:val="bottom"/>
          </w:tcPr>
          <w:p w:rsidR="003D101E" w:rsidRPr="00773D7E" w:rsidRDefault="00834B54" w:rsidP="00034F84">
            <w:pPr>
              <w:autoSpaceDE w:val="0"/>
              <w:autoSpaceDN w:val="0"/>
              <w:adjustRightInd w:val="0"/>
              <w:spacing w:after="0" w:line="240" w:lineRule="auto"/>
              <w:contextualSpacing/>
              <w:jc w:val="center"/>
              <w:rPr>
                <w:rFonts w:ascii="Times New Roman" w:hAnsi="Times New Roman" w:cs="Times New Roman"/>
                <w:sz w:val="26"/>
                <w:szCs w:val="26"/>
                <w:u w:color="FF0000"/>
              </w:rPr>
            </w:pPr>
            <w:r w:rsidRPr="00773D7E">
              <w:rPr>
                <w:rFonts w:ascii="Times New Roman" w:hAnsi="Times New Roman" w:cs="Times New Roman"/>
                <w:sz w:val="26"/>
                <w:szCs w:val="26"/>
                <w:u w:color="FF0000"/>
              </w:rPr>
              <w:t>396</w:t>
            </w:r>
          </w:p>
        </w:tc>
      </w:tr>
    </w:tbl>
    <w:p w:rsidR="003D101E" w:rsidRPr="00034F84" w:rsidRDefault="003D101E" w:rsidP="00034F84">
      <w:pPr>
        <w:autoSpaceDE w:val="0"/>
        <w:autoSpaceDN w:val="0"/>
        <w:adjustRightInd w:val="0"/>
        <w:spacing w:after="0" w:line="240" w:lineRule="auto"/>
        <w:ind w:firstLine="709"/>
        <w:contextualSpacing/>
        <w:jc w:val="both"/>
        <w:rPr>
          <w:rFonts w:ascii="Times New Roman" w:hAnsi="Times New Roman" w:cs="Times New Roman"/>
          <w:sz w:val="28"/>
          <w:szCs w:val="28"/>
          <w:u w:color="FF0000"/>
        </w:rPr>
      </w:pPr>
    </w:p>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Показатель тепловой энергии (39.2) в 2019 году уменьшился в связи с повышением среднегодовой температурой наружного воздуха в зимний период. Прогнозируемые показатели на 2020-2022 годы останутся на уровне 2019 года, так как не планируется увеличение тепловых мощностей и количества потребителей данного ресурса. </w:t>
      </w:r>
    </w:p>
    <w:tbl>
      <w:tblPr>
        <w:tblW w:w="0" w:type="auto"/>
        <w:tblInd w:w="103" w:type="dxa"/>
        <w:tblLayout w:type="fixed"/>
        <w:tblLook w:val="0000"/>
      </w:tblPr>
      <w:tblGrid>
        <w:gridCol w:w="497"/>
        <w:gridCol w:w="2202"/>
        <w:gridCol w:w="1275"/>
        <w:gridCol w:w="1134"/>
        <w:gridCol w:w="1134"/>
        <w:gridCol w:w="1134"/>
        <w:gridCol w:w="1134"/>
        <w:gridCol w:w="1135"/>
      </w:tblGrid>
      <w:tr w:rsidR="003D101E" w:rsidRPr="00034F84">
        <w:trPr>
          <w:trHeight w:val="420"/>
        </w:trPr>
        <w:tc>
          <w:tcPr>
            <w:tcW w:w="497"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w:t>
            </w:r>
          </w:p>
        </w:tc>
        <w:tc>
          <w:tcPr>
            <w:tcW w:w="2202"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Единицы измерения</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2018</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2019 отчет</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2020 оценка</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2021 прогноз</w:t>
            </w:r>
          </w:p>
        </w:tc>
        <w:tc>
          <w:tcPr>
            <w:tcW w:w="113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2022 прогноз</w:t>
            </w:r>
          </w:p>
        </w:tc>
      </w:tr>
      <w:tr w:rsidR="003D101E" w:rsidRPr="00034F84">
        <w:trPr>
          <w:trHeight w:val="450"/>
        </w:trPr>
        <w:tc>
          <w:tcPr>
            <w:tcW w:w="497" w:type="dxa"/>
            <w:tcBorders>
              <w:top w:val="nil"/>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39.2</w:t>
            </w:r>
          </w:p>
        </w:tc>
        <w:tc>
          <w:tcPr>
            <w:tcW w:w="2202" w:type="dxa"/>
            <w:tcBorders>
              <w:top w:val="nil"/>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тепловая энергия</w:t>
            </w:r>
          </w:p>
        </w:tc>
        <w:tc>
          <w:tcPr>
            <w:tcW w:w="1275" w:type="dxa"/>
            <w:tcBorders>
              <w:top w:val="nil"/>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Гкал на 1 кв. метр общей площади</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0,41</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0,37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0,37</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0,37</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0,37</w:t>
            </w:r>
          </w:p>
        </w:tc>
      </w:tr>
      <w:tr w:rsidR="003D101E" w:rsidRPr="00034F84">
        <w:trPr>
          <w:trHeight w:val="450"/>
        </w:trPr>
        <w:tc>
          <w:tcPr>
            <w:tcW w:w="497" w:type="dxa"/>
            <w:tcBorders>
              <w:top w:val="nil"/>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 </w:t>
            </w:r>
          </w:p>
        </w:tc>
        <w:tc>
          <w:tcPr>
            <w:tcW w:w="2202" w:type="dxa"/>
            <w:tcBorders>
              <w:top w:val="nil"/>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объем потребленной тепловой энергии в многоквартирных домах</w:t>
            </w:r>
          </w:p>
        </w:tc>
        <w:tc>
          <w:tcPr>
            <w:tcW w:w="1275" w:type="dxa"/>
            <w:tcBorders>
              <w:top w:val="nil"/>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Гкал</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ind w:left="-108"/>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2340,92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2100,0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2100,0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2100,0</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right"/>
              <w:rPr>
                <w:rFonts w:ascii="Times New Roman" w:hAnsi="Times New Roman" w:cs="Times New Roman"/>
                <w:sz w:val="28"/>
                <w:szCs w:val="28"/>
                <w:u w:color="FF0000"/>
              </w:rPr>
            </w:pPr>
            <w:r w:rsidRPr="00034F84">
              <w:rPr>
                <w:rFonts w:ascii="Times New Roman" w:hAnsi="Times New Roman" w:cs="Times New Roman"/>
                <w:sz w:val="28"/>
                <w:szCs w:val="28"/>
                <w:u w:color="FF0000"/>
              </w:rPr>
              <w:t>2100,0</w:t>
            </w:r>
          </w:p>
        </w:tc>
      </w:tr>
      <w:tr w:rsidR="003D101E" w:rsidRPr="00034F84">
        <w:trPr>
          <w:trHeight w:val="675"/>
        </w:trPr>
        <w:tc>
          <w:tcPr>
            <w:tcW w:w="497"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 </w:t>
            </w:r>
          </w:p>
        </w:tc>
        <w:tc>
          <w:tcPr>
            <w:tcW w:w="2202"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общая площадь жилых помещений в многоквартирных домах</w:t>
            </w:r>
          </w:p>
        </w:tc>
        <w:tc>
          <w:tcPr>
            <w:tcW w:w="1275"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кв. метр</w:t>
            </w:r>
          </w:p>
        </w:tc>
        <w:tc>
          <w:tcPr>
            <w:tcW w:w="1134" w:type="dxa"/>
            <w:tcBorders>
              <w:top w:val="single" w:sz="4" w:space="0" w:color="auto"/>
              <w:left w:val="nil"/>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5679,89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5679,89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5679,89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5679,89</w:t>
            </w:r>
          </w:p>
        </w:tc>
        <w:tc>
          <w:tcPr>
            <w:tcW w:w="113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5679,89</w:t>
            </w:r>
          </w:p>
        </w:tc>
      </w:tr>
    </w:tbl>
    <w:p w:rsidR="003D101E" w:rsidRPr="00034F84" w:rsidRDefault="00834B54" w:rsidP="00034F84">
      <w:pPr>
        <w:autoSpaceDE w:val="0"/>
        <w:autoSpaceDN w:val="0"/>
        <w:adjustRightInd w:val="0"/>
        <w:spacing w:after="0" w:line="240" w:lineRule="auto"/>
        <w:ind w:firstLine="709"/>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Показатель по электроэнергии (39.1) в 2019 году увеличился, в связи с </w:t>
      </w:r>
      <w:proofErr w:type="gramStart"/>
      <w:r w:rsidRPr="00034F84">
        <w:rPr>
          <w:rFonts w:ascii="Times New Roman" w:hAnsi="Times New Roman" w:cs="Times New Roman"/>
          <w:sz w:val="28"/>
          <w:szCs w:val="28"/>
          <w:u w:color="FF0000"/>
        </w:rPr>
        <w:t>тем</w:t>
      </w:r>
      <w:proofErr w:type="gramEnd"/>
      <w:r w:rsidRPr="00034F84">
        <w:rPr>
          <w:rFonts w:ascii="Times New Roman" w:hAnsi="Times New Roman" w:cs="Times New Roman"/>
          <w:sz w:val="28"/>
          <w:szCs w:val="28"/>
          <w:u w:color="FF0000"/>
        </w:rPr>
        <w:t xml:space="preserve"> что жителям района не оказывается услуга по горячему водоснабжению, подогрев воды производится индивидуальными водонагревателями, </w:t>
      </w:r>
      <w:r w:rsidRPr="00034F84">
        <w:rPr>
          <w:rFonts w:ascii="Times New Roman" w:hAnsi="Times New Roman" w:cs="Times New Roman"/>
          <w:sz w:val="28"/>
          <w:szCs w:val="28"/>
          <w:u w:color="FF0000"/>
        </w:rPr>
        <w:lastRenderedPageBreak/>
        <w:t>работающими от электрической энергии. На период 2020-2022 годов показатель останется на уровне 2019 года.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2"/>
        <w:gridCol w:w="2160"/>
        <w:gridCol w:w="1275"/>
        <w:gridCol w:w="1134"/>
        <w:gridCol w:w="1134"/>
        <w:gridCol w:w="1134"/>
        <w:gridCol w:w="1134"/>
        <w:gridCol w:w="1134"/>
      </w:tblGrid>
      <w:tr w:rsidR="003D101E" w:rsidRPr="00034F84">
        <w:trPr>
          <w:trHeight w:val="420"/>
        </w:trPr>
        <w:tc>
          <w:tcPr>
            <w:tcW w:w="642" w:type="dxa"/>
            <w:tcBorders>
              <w:top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w:t>
            </w:r>
          </w:p>
        </w:tc>
        <w:tc>
          <w:tcPr>
            <w:tcW w:w="2160"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Единицы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2019 отчет</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2020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2021 прогноз</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b/>
                <w:bCs/>
                <w:sz w:val="28"/>
                <w:szCs w:val="28"/>
                <w:u w:color="FF0000"/>
              </w:rPr>
            </w:pPr>
            <w:r w:rsidRPr="00034F84">
              <w:rPr>
                <w:rFonts w:ascii="Times New Roman" w:hAnsi="Times New Roman" w:cs="Times New Roman"/>
                <w:b/>
                <w:bCs/>
                <w:sz w:val="28"/>
                <w:szCs w:val="28"/>
                <w:u w:color="FF0000"/>
              </w:rPr>
              <w:t>2022 прогноз</w:t>
            </w:r>
          </w:p>
        </w:tc>
      </w:tr>
      <w:tr w:rsidR="003D101E" w:rsidRPr="00034F84">
        <w:trPr>
          <w:trHeight w:val="705"/>
        </w:trPr>
        <w:tc>
          <w:tcPr>
            <w:tcW w:w="642" w:type="dxa"/>
            <w:tcBorders>
              <w:top w:val="single" w:sz="4" w:space="0" w:color="auto"/>
              <w:bottom w:val="single" w:sz="4" w:space="0" w:color="auto"/>
              <w:right w:val="single" w:sz="4" w:space="0" w:color="auto"/>
            </w:tcBorders>
            <w:vAlign w:val="center"/>
          </w:tcPr>
          <w:p w:rsidR="003D101E" w:rsidRPr="00034F84" w:rsidRDefault="003D101E" w:rsidP="00034F84">
            <w:pPr>
              <w:autoSpaceDE w:val="0"/>
              <w:autoSpaceDN w:val="0"/>
              <w:adjustRightInd w:val="0"/>
              <w:spacing w:after="0" w:line="240" w:lineRule="auto"/>
              <w:contextualSpacing/>
              <w:rPr>
                <w:rFonts w:ascii="Times New Roman" w:hAnsi="Times New Roman" w:cs="Times New Roman"/>
                <w:sz w:val="28"/>
                <w:szCs w:val="28"/>
                <w:u w:color="FF0000"/>
              </w:rPr>
            </w:pPr>
          </w:p>
        </w:tc>
        <w:tc>
          <w:tcPr>
            <w:tcW w:w="2160"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электрическая энергия</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 кВт·</w:t>
            </w:r>
            <w:proofErr w:type="gramStart"/>
            <w:r w:rsidRPr="00034F84">
              <w:rPr>
                <w:rFonts w:ascii="Times New Roman" w:hAnsi="Times New Roman" w:cs="Times New Roman"/>
                <w:sz w:val="28"/>
                <w:szCs w:val="28"/>
                <w:u w:color="FF0000"/>
              </w:rPr>
              <w:t>ч</w:t>
            </w:r>
            <w:proofErr w:type="gramEnd"/>
            <w:r w:rsidRPr="00034F84">
              <w:rPr>
                <w:rFonts w:ascii="Times New Roman" w:hAnsi="Times New Roman" w:cs="Times New Roman"/>
                <w:sz w:val="28"/>
                <w:szCs w:val="28"/>
                <w:u w:color="FF0000"/>
              </w:rPr>
              <w:t xml:space="preserve"> на 1 проживающего</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1415,16</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1416,92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1416,92</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1416,92</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1416,92</w:t>
            </w:r>
          </w:p>
        </w:tc>
      </w:tr>
      <w:tr w:rsidR="003D101E" w:rsidRPr="00034F84">
        <w:trPr>
          <w:trHeight w:val="450"/>
        </w:trPr>
        <w:tc>
          <w:tcPr>
            <w:tcW w:w="642" w:type="dxa"/>
            <w:tcBorders>
              <w:top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 </w:t>
            </w:r>
          </w:p>
        </w:tc>
        <w:tc>
          <w:tcPr>
            <w:tcW w:w="2160"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объем потребления электрической энергии в многоквартирных домах</w:t>
            </w:r>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proofErr w:type="spellStart"/>
            <w:r w:rsidRPr="00034F84">
              <w:rPr>
                <w:rFonts w:ascii="Times New Roman" w:hAnsi="Times New Roman" w:cs="Times New Roman"/>
                <w:sz w:val="28"/>
                <w:szCs w:val="28"/>
                <w:u w:color="FF0000"/>
              </w:rPr>
              <w:t>кВТч</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748620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561100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561100</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561100</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561100</w:t>
            </w:r>
          </w:p>
        </w:tc>
      </w:tr>
      <w:tr w:rsidR="003D101E" w:rsidRPr="00034F84">
        <w:trPr>
          <w:trHeight w:val="675"/>
        </w:trPr>
        <w:tc>
          <w:tcPr>
            <w:tcW w:w="642" w:type="dxa"/>
            <w:tcBorders>
              <w:top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 </w:t>
            </w:r>
          </w:p>
        </w:tc>
        <w:tc>
          <w:tcPr>
            <w:tcW w:w="2160"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rPr>
                <w:rFonts w:ascii="Times New Roman" w:hAnsi="Times New Roman" w:cs="Times New Roman"/>
                <w:sz w:val="28"/>
                <w:szCs w:val="28"/>
                <w:u w:color="FF0000"/>
              </w:rPr>
            </w:pPr>
            <w:proofErr w:type="gramStart"/>
            <w:r w:rsidRPr="00034F84">
              <w:rPr>
                <w:rFonts w:ascii="Times New Roman" w:hAnsi="Times New Roman" w:cs="Times New Roman"/>
                <w:sz w:val="28"/>
                <w:szCs w:val="28"/>
                <w:u w:color="FF0000"/>
              </w:rPr>
              <w:t>число проживающих в многоквартирных домах, которым отпущен соответствующий энергетический ресурс</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529</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396</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396</w:t>
            </w:r>
          </w:p>
        </w:tc>
        <w:tc>
          <w:tcPr>
            <w:tcW w:w="1134" w:type="dxa"/>
            <w:tcBorders>
              <w:top w:val="single" w:sz="4" w:space="0" w:color="auto"/>
              <w:left w:val="single" w:sz="4" w:space="0" w:color="auto"/>
              <w:bottom w:val="single" w:sz="4" w:space="0" w:color="auto"/>
              <w:right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396</w:t>
            </w:r>
          </w:p>
        </w:tc>
        <w:tc>
          <w:tcPr>
            <w:tcW w:w="1134" w:type="dxa"/>
            <w:tcBorders>
              <w:top w:val="single" w:sz="4" w:space="0" w:color="auto"/>
              <w:left w:val="single" w:sz="4" w:space="0" w:color="auto"/>
              <w:bottom w:val="single" w:sz="4" w:space="0" w:color="auto"/>
            </w:tcBorders>
            <w:vAlign w:val="center"/>
          </w:tcPr>
          <w:p w:rsidR="003D101E" w:rsidRPr="00034F84" w:rsidRDefault="00834B54" w:rsidP="00034F84">
            <w:pPr>
              <w:autoSpaceDE w:val="0"/>
              <w:autoSpaceDN w:val="0"/>
              <w:adjustRightInd w:val="0"/>
              <w:spacing w:after="0" w:line="240" w:lineRule="auto"/>
              <w:contextualSpacing/>
              <w:jc w:val="center"/>
              <w:rPr>
                <w:rFonts w:ascii="Times New Roman" w:hAnsi="Times New Roman" w:cs="Times New Roman"/>
                <w:sz w:val="28"/>
                <w:szCs w:val="28"/>
                <w:u w:color="FF0000"/>
              </w:rPr>
            </w:pPr>
            <w:r w:rsidRPr="00034F84">
              <w:rPr>
                <w:rFonts w:ascii="Times New Roman" w:hAnsi="Times New Roman" w:cs="Times New Roman"/>
                <w:sz w:val="28"/>
                <w:szCs w:val="28"/>
                <w:u w:color="FF0000"/>
              </w:rPr>
              <w:t>396</w:t>
            </w:r>
          </w:p>
        </w:tc>
      </w:tr>
    </w:tbl>
    <w:p w:rsidR="001E489E" w:rsidRDefault="001E489E" w:rsidP="00034F84">
      <w:pPr>
        <w:widowControl w:val="0"/>
        <w:autoSpaceDE w:val="0"/>
        <w:autoSpaceDN w:val="0"/>
        <w:adjustRightInd w:val="0"/>
        <w:spacing w:after="0" w:line="240" w:lineRule="auto"/>
        <w:ind w:firstLine="720"/>
        <w:contextualSpacing/>
        <w:jc w:val="both"/>
        <w:rPr>
          <w:rFonts w:ascii="Times New Roman" w:hAnsi="Times New Roman" w:cs="Times New Roman"/>
          <w:sz w:val="28"/>
          <w:szCs w:val="28"/>
          <w:u w:color="FF0000"/>
        </w:rPr>
      </w:pPr>
    </w:p>
    <w:p w:rsidR="003D101E" w:rsidRPr="00034F84" w:rsidRDefault="00834B54" w:rsidP="00034F84">
      <w:pPr>
        <w:widowControl w:val="0"/>
        <w:autoSpaceDE w:val="0"/>
        <w:autoSpaceDN w:val="0"/>
        <w:adjustRightInd w:val="0"/>
        <w:spacing w:after="0" w:line="240" w:lineRule="auto"/>
        <w:ind w:firstLine="720"/>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Показатели удельной величины потребления природного газа и горячей воды равны "0", так как в районе отсутствует инфраструктура.</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u w:color="FF0000"/>
        </w:rPr>
      </w:pPr>
      <w:r w:rsidRPr="00034F84">
        <w:rPr>
          <w:rFonts w:ascii="Times New Roman" w:hAnsi="Times New Roman" w:cs="Times New Roman"/>
          <w:b/>
          <w:bCs/>
          <w:color w:val="000000"/>
          <w:sz w:val="28"/>
          <w:szCs w:val="28"/>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ab/>
        <w:t xml:space="preserve">40.1 электрическая энергия – согласно данных </w:t>
      </w:r>
      <w:proofErr w:type="spellStart"/>
      <w:r w:rsidRPr="00034F84">
        <w:rPr>
          <w:rFonts w:ascii="Times New Roman" w:hAnsi="Times New Roman" w:cs="Times New Roman"/>
          <w:sz w:val="28"/>
          <w:szCs w:val="28"/>
          <w:u w:color="FF0000"/>
        </w:rPr>
        <w:t>РусГидро</w:t>
      </w:r>
      <w:proofErr w:type="spellEnd"/>
      <w:r w:rsidRPr="00034F84">
        <w:rPr>
          <w:rFonts w:ascii="Times New Roman" w:hAnsi="Times New Roman" w:cs="Times New Roman"/>
          <w:sz w:val="28"/>
          <w:szCs w:val="28"/>
          <w:u w:color="FF0000"/>
        </w:rPr>
        <w:t xml:space="preserve"> годовое потребление электроэнергии муниципальными бюджетными учреждениями составляет 3631077 кВт, численность населения района составляет 9370 человек,  увеличение показателя по сравнению с 2018 годом произошло в связи с требованиями </w:t>
      </w:r>
      <w:proofErr w:type="spellStart"/>
      <w:r w:rsidRPr="00034F84">
        <w:rPr>
          <w:rFonts w:ascii="Times New Roman" w:hAnsi="Times New Roman" w:cs="Times New Roman"/>
          <w:sz w:val="28"/>
          <w:szCs w:val="28"/>
          <w:u w:color="FF0000"/>
        </w:rPr>
        <w:t>СанПин</w:t>
      </w:r>
      <w:proofErr w:type="spellEnd"/>
      <w:r w:rsidRPr="00034F84">
        <w:rPr>
          <w:rFonts w:ascii="Times New Roman" w:hAnsi="Times New Roman" w:cs="Times New Roman"/>
          <w:sz w:val="28"/>
          <w:szCs w:val="28"/>
          <w:u w:color="FF0000"/>
        </w:rPr>
        <w:t xml:space="preserve">, в муниципальных учреждениях </w:t>
      </w:r>
      <w:proofErr w:type="gramStart"/>
      <w:r w:rsidRPr="00034F84">
        <w:rPr>
          <w:rFonts w:ascii="Times New Roman" w:hAnsi="Times New Roman" w:cs="Times New Roman"/>
          <w:sz w:val="28"/>
          <w:szCs w:val="28"/>
          <w:u w:color="FF0000"/>
        </w:rPr>
        <w:t>устанавливаются</w:t>
      </w:r>
      <w:proofErr w:type="gramEnd"/>
      <w:r w:rsidRPr="00034F84">
        <w:rPr>
          <w:rFonts w:ascii="Times New Roman" w:hAnsi="Times New Roman" w:cs="Times New Roman"/>
          <w:sz w:val="28"/>
          <w:szCs w:val="28"/>
          <w:u w:color="FF0000"/>
        </w:rPr>
        <w:t xml:space="preserve"> большее количество электрических приборов при этом численность населения уменьшилась.</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 xml:space="preserve">40.2 тепловая энергия – согласно данных </w:t>
      </w:r>
      <w:proofErr w:type="spellStart"/>
      <w:r w:rsidRPr="00034F84">
        <w:rPr>
          <w:rFonts w:ascii="Times New Roman" w:hAnsi="Times New Roman" w:cs="Times New Roman"/>
          <w:sz w:val="28"/>
          <w:szCs w:val="28"/>
          <w:u w:color="FF0000"/>
        </w:rPr>
        <w:t>ресурсоснабжающей</w:t>
      </w:r>
      <w:proofErr w:type="spellEnd"/>
      <w:r w:rsidRPr="00034F84">
        <w:rPr>
          <w:rFonts w:ascii="Times New Roman" w:hAnsi="Times New Roman" w:cs="Times New Roman"/>
          <w:sz w:val="28"/>
          <w:szCs w:val="28"/>
          <w:u w:color="FF0000"/>
        </w:rPr>
        <w:t xml:space="preserve"> организации годовое потребление тепловой энергии бюджетными учреждениями района </w:t>
      </w:r>
      <w:r w:rsidRPr="00034F84">
        <w:rPr>
          <w:rFonts w:ascii="Times New Roman" w:hAnsi="Times New Roman" w:cs="Times New Roman"/>
          <w:sz w:val="28"/>
          <w:szCs w:val="28"/>
          <w:u w:color="FF0000"/>
        </w:rPr>
        <w:lastRenderedPageBreak/>
        <w:t>составило 5381,36 Гкал, площадь учреждений 38359,38м</w:t>
      </w:r>
      <w:proofErr w:type="gramStart"/>
      <w:r w:rsidRPr="00034F84">
        <w:rPr>
          <w:rFonts w:ascii="Times New Roman" w:hAnsi="Times New Roman" w:cs="Times New Roman"/>
          <w:sz w:val="28"/>
          <w:szCs w:val="28"/>
          <w:u w:color="FF0000"/>
          <w:vertAlign w:val="superscript"/>
        </w:rPr>
        <w:t>2</w:t>
      </w:r>
      <w:proofErr w:type="gramEnd"/>
      <w:r w:rsidRPr="00034F84">
        <w:rPr>
          <w:rFonts w:ascii="Times New Roman" w:hAnsi="Times New Roman" w:cs="Times New Roman"/>
          <w:sz w:val="28"/>
          <w:szCs w:val="28"/>
          <w:u w:color="FF0000"/>
        </w:rPr>
        <w:t>, показатель остался на уровне 2018 года.</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sz w:val="28"/>
          <w:szCs w:val="28"/>
          <w:u w:color="FF0000"/>
        </w:rPr>
      </w:pPr>
      <w:r w:rsidRPr="00034F84">
        <w:rPr>
          <w:rFonts w:ascii="Times New Roman" w:hAnsi="Times New Roman" w:cs="Times New Roman"/>
          <w:sz w:val="28"/>
          <w:szCs w:val="28"/>
          <w:u w:color="FF0000"/>
        </w:rPr>
        <w:t>40.3 горячая вода и 40.5 природный газ - равны 0, т. к. данные услуги в районе не оказываются.</w:t>
      </w:r>
    </w:p>
    <w:p w:rsidR="003D101E" w:rsidRPr="00034F84" w:rsidRDefault="00834B54" w:rsidP="00034F84">
      <w:pPr>
        <w:autoSpaceDE w:val="0"/>
        <w:autoSpaceDN w:val="0"/>
        <w:adjustRightInd w:val="0"/>
        <w:spacing w:line="240" w:lineRule="auto"/>
        <w:contextualSpacing/>
        <w:jc w:val="both"/>
        <w:rPr>
          <w:rFonts w:ascii="Times New Roman" w:hAnsi="Times New Roman" w:cs="Times New Roman"/>
          <w:b/>
          <w:bCs/>
          <w:sz w:val="28"/>
          <w:szCs w:val="28"/>
          <w:u w:color="FF0000"/>
        </w:rPr>
      </w:pPr>
      <w:r w:rsidRPr="00034F84">
        <w:rPr>
          <w:rFonts w:ascii="Times New Roman" w:hAnsi="Times New Roman" w:cs="Times New Roman"/>
          <w:sz w:val="28"/>
          <w:szCs w:val="28"/>
          <w:u w:color="FF0000"/>
        </w:rPr>
        <w:t xml:space="preserve">40.4 холодная вода - годовое потребление холодной воды бюджетными учреждениями по данным </w:t>
      </w:r>
      <w:proofErr w:type="spellStart"/>
      <w:r w:rsidRPr="00034F84">
        <w:rPr>
          <w:rFonts w:ascii="Times New Roman" w:hAnsi="Times New Roman" w:cs="Times New Roman"/>
          <w:sz w:val="28"/>
          <w:szCs w:val="28"/>
          <w:u w:color="FF0000"/>
        </w:rPr>
        <w:t>ресурсоснабжающих</w:t>
      </w:r>
      <w:proofErr w:type="spellEnd"/>
      <w:r w:rsidRPr="00034F84">
        <w:rPr>
          <w:rFonts w:ascii="Times New Roman" w:hAnsi="Times New Roman" w:cs="Times New Roman"/>
          <w:sz w:val="28"/>
          <w:szCs w:val="28"/>
          <w:u w:color="FF0000"/>
        </w:rPr>
        <w:t xml:space="preserve"> организаций составило 7496 куб.м., численность населения района составляет 9370 человек, уменьшения показателя по сравнению с 2018 годом произошло в связи с проведением мероприятий по устранению неисправностей сантехнических приборов.  </w:t>
      </w:r>
    </w:p>
    <w:p w:rsidR="003D101E" w:rsidRPr="00034F84" w:rsidRDefault="00834B54" w:rsidP="00773D7E">
      <w:pPr>
        <w:widowControl w:val="0"/>
        <w:autoSpaceDE w:val="0"/>
        <w:autoSpaceDN w:val="0"/>
        <w:adjustRightInd w:val="0"/>
        <w:spacing w:after="0" w:line="240" w:lineRule="auto"/>
        <w:contextualSpacing/>
        <w:jc w:val="both"/>
        <w:rPr>
          <w:rFonts w:ascii="Times New Roman" w:hAnsi="Times New Roman" w:cs="Times New Roman"/>
          <w:color w:val="000000"/>
          <w:sz w:val="28"/>
          <w:szCs w:val="28"/>
          <w:u w:color="FF0000"/>
        </w:rPr>
      </w:pPr>
      <w:r w:rsidRPr="00034F84">
        <w:rPr>
          <w:rFonts w:ascii="Times New Roman" w:hAnsi="Times New Roman" w:cs="Times New Roman"/>
          <w:b/>
          <w:bCs/>
          <w:color w:val="000000"/>
          <w:sz w:val="28"/>
          <w:szCs w:val="28"/>
          <w:u w:color="FF0000"/>
        </w:rPr>
        <w:t>41.Результаты независимой оценки качества условий оказания услуг муниципальными организациями в сфере культуры, охраны здоровья,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w:t>
      </w:r>
      <w:proofErr w:type="gramStart"/>
      <w:r w:rsidRPr="00034F84">
        <w:rPr>
          <w:rFonts w:ascii="Times New Roman" w:hAnsi="Times New Roman" w:cs="Times New Roman"/>
          <w:b/>
          <w:bCs/>
          <w:color w:val="000000"/>
          <w:sz w:val="28"/>
          <w:szCs w:val="28"/>
          <w:u w:color="FF0000"/>
        </w:rPr>
        <w:t>о-</w:t>
      </w:r>
      <w:proofErr w:type="gramEnd"/>
      <w:r w:rsidRPr="00034F84">
        <w:rPr>
          <w:rFonts w:ascii="Times New Roman" w:hAnsi="Times New Roman" w:cs="Times New Roman"/>
          <w:b/>
          <w:bCs/>
          <w:color w:val="000000"/>
          <w:sz w:val="28"/>
          <w:szCs w:val="28"/>
          <w:u w:color="FF0000"/>
        </w:rPr>
        <w:t xml:space="preserve"> телекоммуникационной сети "Интернет") (при наличии)</w:t>
      </w: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sz w:val="28"/>
          <w:szCs w:val="28"/>
          <w:u w:color="FF0000"/>
        </w:rPr>
      </w:pPr>
      <w:r w:rsidRPr="00034F84">
        <w:rPr>
          <w:rFonts w:ascii="Times New Roman" w:hAnsi="Times New Roman" w:cs="Times New Roman"/>
          <w:sz w:val="28"/>
          <w:szCs w:val="28"/>
          <w:u w:color="FF0000"/>
        </w:rPr>
        <w:tab/>
        <w:t xml:space="preserve">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территории </w:t>
      </w:r>
      <w:proofErr w:type="spellStart"/>
      <w:r w:rsidRPr="00034F84">
        <w:rPr>
          <w:rFonts w:ascii="Times New Roman" w:hAnsi="Times New Roman" w:cs="Times New Roman"/>
          <w:sz w:val="28"/>
          <w:szCs w:val="28"/>
          <w:u w:color="FF0000"/>
        </w:rPr>
        <w:t>Боготольского</w:t>
      </w:r>
      <w:proofErr w:type="spellEnd"/>
      <w:r w:rsidRPr="00034F84">
        <w:rPr>
          <w:rFonts w:ascii="Times New Roman" w:hAnsi="Times New Roman" w:cs="Times New Roman"/>
          <w:sz w:val="28"/>
          <w:szCs w:val="28"/>
          <w:u w:color="FF0000"/>
        </w:rPr>
        <w:t xml:space="preserve"> района и оказывающими услуги в указанных сферах за счет бюджетных ассигнований бюджета </w:t>
      </w:r>
      <w:proofErr w:type="spellStart"/>
      <w:r w:rsidRPr="00034F84">
        <w:rPr>
          <w:rFonts w:ascii="Times New Roman" w:hAnsi="Times New Roman" w:cs="Times New Roman"/>
          <w:sz w:val="28"/>
          <w:szCs w:val="28"/>
          <w:u w:color="FF0000"/>
        </w:rPr>
        <w:t>Боготольского</w:t>
      </w:r>
      <w:proofErr w:type="spellEnd"/>
      <w:r w:rsidRPr="00034F84">
        <w:rPr>
          <w:rFonts w:ascii="Times New Roman" w:hAnsi="Times New Roman" w:cs="Times New Roman"/>
          <w:sz w:val="28"/>
          <w:szCs w:val="28"/>
          <w:u w:color="FF0000"/>
        </w:rPr>
        <w:t xml:space="preserve"> района в 2019 году не проводилась. </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color w:val="000000"/>
          <w:sz w:val="28"/>
          <w:szCs w:val="28"/>
          <w:u w:color="FF0000"/>
        </w:rPr>
      </w:pPr>
    </w:p>
    <w:p w:rsidR="003D101E" w:rsidRPr="00034F84" w:rsidRDefault="00834B54" w:rsidP="00034F84">
      <w:pPr>
        <w:widowControl w:val="0"/>
        <w:autoSpaceDE w:val="0"/>
        <w:autoSpaceDN w:val="0"/>
        <w:adjustRightInd w:val="0"/>
        <w:spacing w:after="0" w:line="240" w:lineRule="auto"/>
        <w:contextualSpacing/>
        <w:rPr>
          <w:rFonts w:ascii="Times New Roman" w:hAnsi="Times New Roman" w:cs="Times New Roman"/>
          <w:color w:val="000000"/>
          <w:sz w:val="28"/>
          <w:szCs w:val="28"/>
          <w:u w:color="FF0000"/>
        </w:rPr>
      </w:pPr>
      <w:r w:rsidRPr="00034F84">
        <w:rPr>
          <w:rFonts w:ascii="Times New Roman" w:hAnsi="Times New Roman" w:cs="Times New Roman"/>
          <w:b/>
          <w:bCs/>
          <w:color w:val="000000"/>
          <w:sz w:val="28"/>
          <w:szCs w:val="28"/>
          <w:u w:color="FF0000"/>
        </w:rPr>
        <w:t>X. Проблемы при формировании доклада</w:t>
      </w:r>
    </w:p>
    <w:p w:rsidR="003D101E" w:rsidRPr="00034F84" w:rsidRDefault="00561EFD" w:rsidP="00034F84">
      <w:pPr>
        <w:widowControl w:val="0"/>
        <w:autoSpaceDE w:val="0"/>
        <w:autoSpaceDN w:val="0"/>
        <w:adjustRightInd w:val="0"/>
        <w:spacing w:after="0" w:line="240" w:lineRule="auto"/>
        <w:contextualSpacing/>
        <w:rPr>
          <w:rFonts w:ascii="Times New Roman" w:hAnsi="Times New Roman" w:cs="Times New Roman"/>
          <w:sz w:val="28"/>
          <w:szCs w:val="28"/>
          <w:u w:color="FF0000"/>
        </w:rPr>
      </w:pPr>
      <w:r>
        <w:rPr>
          <w:rFonts w:ascii="Times New Roman" w:hAnsi="Times New Roman" w:cs="Times New Roman"/>
          <w:sz w:val="28"/>
          <w:szCs w:val="28"/>
          <w:u w:color="FF0000"/>
        </w:rPr>
        <w:tab/>
        <w:t>Отсутствуют.</w:t>
      </w: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u w:color="FF0000"/>
        </w:rPr>
      </w:pP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u w:color="FF0000"/>
        </w:rPr>
      </w:pPr>
    </w:p>
    <w:p w:rsidR="003D101E" w:rsidRPr="00034F84" w:rsidRDefault="003D101E" w:rsidP="00034F84">
      <w:pPr>
        <w:widowControl w:val="0"/>
        <w:autoSpaceDE w:val="0"/>
        <w:autoSpaceDN w:val="0"/>
        <w:adjustRightInd w:val="0"/>
        <w:spacing w:after="0" w:line="240" w:lineRule="auto"/>
        <w:contextualSpacing/>
        <w:rPr>
          <w:rFonts w:ascii="Times New Roman" w:hAnsi="Times New Roman" w:cs="Times New Roman"/>
          <w:sz w:val="28"/>
          <w:szCs w:val="28"/>
          <w:u w:color="FF0000"/>
        </w:rPr>
      </w:pPr>
    </w:p>
    <w:sectPr w:rsidR="003D101E" w:rsidRPr="00034F84" w:rsidSect="003D101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023E"/>
    <w:multiLevelType w:val="singleLevel"/>
    <w:tmpl w:val="72FCABC2"/>
    <w:lvl w:ilvl="0">
      <w:start w:val="1"/>
      <w:numFmt w:val="decimal"/>
      <w:lvlText w:val="%1."/>
      <w:legacy w:legacy="1" w:legacySpace="0" w:legacyIndent="0"/>
      <w:lvlJc w:val="left"/>
      <w:rPr>
        <w:rFonts w:ascii="Times New Roman CYR" w:hAnsi="Times New Roman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34B54"/>
    <w:rsid w:val="00034F84"/>
    <w:rsid w:val="001E489E"/>
    <w:rsid w:val="002A7659"/>
    <w:rsid w:val="003D101E"/>
    <w:rsid w:val="00561EFD"/>
    <w:rsid w:val="00773D7E"/>
    <w:rsid w:val="00834B54"/>
    <w:rsid w:val="00940D5F"/>
    <w:rsid w:val="00AB3B2E"/>
    <w:rsid w:val="00C621FB"/>
    <w:rsid w:val="00CE13BD"/>
    <w:rsid w:val="00FB5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8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Admin-01</cp:lastModifiedBy>
  <cp:revision>6</cp:revision>
  <dcterms:created xsi:type="dcterms:W3CDTF">2020-04-28T01:18:00Z</dcterms:created>
  <dcterms:modified xsi:type="dcterms:W3CDTF">2021-04-15T03:44:00Z</dcterms:modified>
</cp:coreProperties>
</file>