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5C" w:rsidRPr="00020B5C" w:rsidRDefault="00020B5C" w:rsidP="00020B5C">
      <w:pPr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0B5C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020B5C" w:rsidRPr="00020B5C" w:rsidRDefault="00020B5C" w:rsidP="00020B5C">
      <w:pPr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0B5C">
        <w:rPr>
          <w:rFonts w:ascii="Times New Roman CYR" w:hAnsi="Times New Roman CYR" w:cs="Times New Roman CYR"/>
          <w:b/>
          <w:bCs/>
          <w:sz w:val="24"/>
          <w:szCs w:val="24"/>
        </w:rPr>
        <w:t>к докладу главы администрации Боготольского района</w:t>
      </w:r>
    </w:p>
    <w:p w:rsidR="00020B5C" w:rsidRPr="00020B5C" w:rsidRDefault="00020B5C" w:rsidP="00020B5C">
      <w:pPr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0B5C">
        <w:rPr>
          <w:rFonts w:ascii="Times New Roman CYR" w:hAnsi="Times New Roman CYR" w:cs="Times New Roman CYR"/>
          <w:b/>
          <w:bCs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Боготольского района за 2013 год и их планируемых значениях на 3-летний период</w:t>
      </w:r>
    </w:p>
    <w:p w:rsidR="00020B5C" w:rsidRDefault="00020B5C" w:rsidP="009B27AE">
      <w:pPr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 CYR" w:hAnsi="Times New Roman CYR" w:cs="Times New Roman CYR"/>
          <w:b/>
          <w:bCs/>
          <w:lang w:val="en-US"/>
        </w:rPr>
        <w:t>I</w:t>
      </w:r>
      <w:r w:rsidRPr="009B27AE">
        <w:rPr>
          <w:rFonts w:ascii="Times New Roman CYR" w:hAnsi="Times New Roman CYR" w:cs="Times New Roman CYR"/>
          <w:b/>
          <w:bCs/>
        </w:rPr>
        <w:t xml:space="preserve">. 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Экономическое развитие </w:t>
      </w:r>
    </w:p>
    <w:p w:rsidR="00020B5C" w:rsidRPr="009B27AE" w:rsidRDefault="00020B5C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2013 года  на территории района проживало 10,384  тыс. чел. Административный центр района – город Боготол.  Всего на территории района восемь сельских поселений с тридцатью восьмью населенными пунктами.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Итоги  социально-экономического развития Боготольского района за январь-декабрь 2013 года характеризуются стабильным функционированием экономики и социальной сферы.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В 2013 году были созданы условия для дальнейшего устойчивого развития  экономики и социальной сферы, улучшения инвестиционного климата района.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Возросли объемы строительно-монтажных работ на 32,2%, инвестиций в основной капитал на 12,8%, розничного товарооборота  на 9,7%, платных и бытовых услуг населению на 13,5%.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Уровень регистрируемой безработицы снизился на 0,1 процентный пункт.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1. Число субъектов малого и среднего предпринимательства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На 01.01.2014 года в Боготольском районе состоит на учете 228 субъектов малого предпринимательства, в том числе 176 индивидуальных предпринимателей и 52 юридических лица.  К 2016 году ожидаемое количество субъектов малого и среднего предпринимательства составит 230 единиц, или 100,9 % к 2013 году.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Большое внимание в районе уделяется вопросу поддержки малого и среднего предпринимательства.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Количество обращений в информационно-консультационный пункт за информационной и консультационной поддержкой в 2013 году составило 173 обращения (на 1,8% больше 2012 г).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Поддержка предпринимателей осуществлялась в рамках муниципальной целевой программы «Сохранение и развитие субъектов малого и среднего предпринимательства в Боготольском районе на период 2011-2013 годы»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Общая сумма поддержки по всем видам и бюджетам в целом составила в 2013 году 3311тыс. руб., что составляет 98,8% к 2012г., в том числе: за счет средств местного бюджета – 412,3 тыс. руб., краевого бюджета – 2899,00 тыс. руб. Была оказана поддержка 9 вновь созданным  субъектам малого предпринимательства на сумму 2 450 тыс. руб., что на 14% больше 2012 г. </w:t>
      </w:r>
      <w:proofErr w:type="gramEnd"/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Результатом реализации программы «Сохранение и развитие субъектов малого и среднего предпринимательства в Боготольском районе на период 2011-2013 годы» в 2013 году стало создание на территории района 31 рабочего места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lastRenderedPageBreak/>
        <w:t>Благодаря вышеуказанным мероприятиям число субъектов малого и среднего предпринимательства на 10000 человек населения увеличилось по сравнению с 2012 годом на 10,6 единиц и составило 209,6 единиц.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За 2013 год среднесписочная численность работников организаций по Боготольскому району, включая малый бизнес, составила 2180 человек. В их числе доля среднесписочной численности работников малых и средних предприятий составила 59,7 %.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Согласно проведенного анализа доля численности юридических лиц к 2016г. уменьшится в связи с закрытием 4 субъектов малого и среднего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предпринимательства-юридических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лиц  к 2016 году, но планируется увеличение численности работающих у индивидуальных предпринимателей и КФХ. В связи с этим данный показатель держится на уровне до 2016 г.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  Меры, осуществляемые в области инвестиционной политики, в 2013 году были направлены на привлечение инвестиций в экономику и социальную сферу района.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В  2013 году доля инвестиций в основной капитал, направленных на развитие экономики и социальной сферы, в расчете на 1 человека, составила 49292,2 руб., что на 9,5% больше уровня 2012 года.          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 Как и в 2012 году основную долю в общем объеме инвестиций занимают инвестиции ОАО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Транссибнефть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(НПС "Каштан")- это около 80% от общей суммы. Вложение инвестиций связано с обслуживанием и модернизацией линии нефтепровода, проходящего по территории Боготольского района.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За счет внебюджетных источников построено по объектам производственного назначения: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 телятник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откормочник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Гнетово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, застройщик ООО «Арга плюс», объем инвестиций составил 13991,1 тыс.руб.;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свиноматочник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п. Вагино, мощностью 16 голов, застройщик КФХ Денисов,1158,6 тыс.руб.;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Также в районе проведено 69680 м. волоконно-оптической линии связи (ОАО МТС).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 Инвестиции в сельское хозяйство составили за 2013 год 54631,6 тыс.руб. Все инвестиции были вложены в приобретение техники для с/х производства.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связи с действием программы по поддержке субъектов малого и среднего предпринимательства  инвестиции субъектов малого и среднего предпринимательства в развитие района в 2013 году составили  8760,07 тыс.руб.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По земельным ресурсам 2013 года году продано 23 земельных участка площадью 9,45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га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том числе физическим лицам 19 участков, площадью 45,8 га., ООО «Зеленый мир» площадью 48.2 га, ИП Кулаженко С.Ф. 100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.(под эксплуатацию магазина), ОАО </w:t>
      </w:r>
      <w:r w:rsidRPr="009B27AE">
        <w:rPr>
          <w:rFonts w:ascii="Times New Roman" w:hAnsi="Times New Roman" w:cs="Times New Roman"/>
          <w:sz w:val="24"/>
          <w:szCs w:val="24"/>
        </w:rPr>
        <w:lastRenderedPageBreak/>
        <w:t xml:space="preserve">«Мегафон» для эксплуатации базовых станций сотовой сети 325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. Доход от продажи земельных участков составил 136,9 тыс. рублей.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Предоставление земельных участков в аренду составило в 2013 году 508,15 га.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налогообложения, в общей площади территории района увеличилась на 0,1% по сравнению с 2012 годом и составила 28,3%. К 2016 году ожидается увеличение данного показателя на 0,2%.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5. Доля прибыльных сельскохозяйственных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proofErr w:type="gramEnd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 в общем их числе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Основное производство продукции сельского хозяйства сосредоточено в 10 сельскохозяйственных предприятиях, 3 кооперативах,9</w:t>
      </w:r>
      <w:r w:rsidR="00730B56">
        <w:rPr>
          <w:rFonts w:ascii="Times New Roman" w:hAnsi="Times New Roman" w:cs="Times New Roman"/>
          <w:sz w:val="24"/>
          <w:szCs w:val="24"/>
        </w:rPr>
        <w:t xml:space="preserve"> </w:t>
      </w:r>
      <w:r w:rsidRPr="009B27AE">
        <w:rPr>
          <w:rFonts w:ascii="Times New Roman" w:hAnsi="Times New Roman" w:cs="Times New Roman"/>
          <w:sz w:val="24"/>
          <w:szCs w:val="24"/>
        </w:rPr>
        <w:t>крестьянских фермерских хозяйства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зарегистрированных в реестре субъектов агропромышленного комплекса, а также в 3898 личных подсобных хозяйствах.</w:t>
      </w:r>
    </w:p>
    <w:p w:rsidR="009B27AE" w:rsidRPr="009B27AE" w:rsidRDefault="009B27AE" w:rsidP="00730B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За январь-декабрь 2013 года объем валовой продукции сельскохозяйственной отрасли по всем категориям хозяйств составил 928140</w:t>
      </w:r>
      <w:r w:rsidR="0073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(90,5% к уровню 2012 года), в том числе 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-в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сельскохозяйственныхпредприятиях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– 266053 тыс.руб. (83,3% к 2012г.);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-в крестьянско-фермерских хозяйствах- 64250 тыс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уб.(114,1% к 2012г.);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-в личных подсобных хозяйствах -650559 тыс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уб.(100,2% к 2012г.)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2013 году получено всеми категориями хозяйств: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субсидий- 51075 тыс.руб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на 13867,7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тыс.руб.больше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2012 года), кредитов и займов-70865 тыс.руб.(на 8288 тыс.руб. меньше 2012 г.).Основное назначение использования кредитных средств- приобретение ГСМ, кормов и семенного материала.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Несмотря на все сложности, возникшие в прошедшем году, все сельскохозяйственные организации района в 2013 году являются прибыльными.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9B27AE" w:rsidRPr="009B27AE" w:rsidRDefault="009B27AE" w:rsidP="00E276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Дорожная инфраструктура района представлена сетью автомобильных</w:t>
      </w:r>
      <w:r w:rsidR="00E276CE">
        <w:rPr>
          <w:rFonts w:ascii="Times New Roman" w:hAnsi="Times New Roman" w:cs="Times New Roman"/>
          <w:sz w:val="24"/>
          <w:szCs w:val="24"/>
        </w:rPr>
        <w:t xml:space="preserve"> </w:t>
      </w:r>
      <w:r w:rsidRPr="009B27AE">
        <w:rPr>
          <w:rFonts w:ascii="Times New Roman" w:hAnsi="Times New Roman" w:cs="Times New Roman"/>
          <w:sz w:val="24"/>
          <w:szCs w:val="24"/>
        </w:rPr>
        <w:t>дорог общего пользования протяжённостью 485,45 км. из них протяженность автомобильных дорог общего пользования местного значения 248,6 км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с твердым покрытием составляет 247,3 км.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увеличилась по сравнению с 2012 годом и составила в 2013 году 63,8%. 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Причин увеличения данного показателя несколько.</w:t>
      </w:r>
      <w:r w:rsidR="00E276CE">
        <w:rPr>
          <w:rFonts w:ascii="Times New Roman" w:hAnsi="Times New Roman" w:cs="Times New Roman"/>
          <w:sz w:val="24"/>
          <w:szCs w:val="24"/>
        </w:rPr>
        <w:t xml:space="preserve"> </w:t>
      </w:r>
      <w:r w:rsidRPr="009B27AE">
        <w:rPr>
          <w:rFonts w:ascii="Times New Roman" w:hAnsi="Times New Roman" w:cs="Times New Roman"/>
          <w:sz w:val="24"/>
          <w:szCs w:val="24"/>
        </w:rPr>
        <w:t xml:space="preserve">Но наиболее весомыми являются: ежегодный износ дорожного полотна, недостаточное финансирование на строительство и ремонт дорог.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Также в 2013 году в реестр дорог были включены проезды к кладбищам, водонапорным башням. Дорожное покрытие на этих участках не соответствует установленным требованиям.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городского округа (муниципального района) в общей численности населения городского округа (муниципального района)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В 2013 г. действовало 14 рейсов по внутрирайонным и межмуниципальным маршрутам. Число пассажиров, пользующихся общественным транспортом, растет. Так за 2013 год перевезено 252,8 тыс. пассажиров (104,9% к уровню прошлого года). Все населенные пункты района обеспечены регулярным автобусным сообщением с административным центром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 Среднемесячная номинальная начисленная заработная плата работников: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Общий фонд оплаты труда по всем предприятиям и организациям района увеличился на 9,9% и составил 369106,92 тыс.руб. По сравнению с 2012 годом среднемесячная зарплата по полному кругу предприятий выросла на 9,7%, бюджетной сферы - на 17,2%.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8.1. крупных и средних предприятий и некоммерческих организаций городского округа (муниципального района)4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 плата крупных и средних предприятий и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некомерческих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организаций выросла по сравнению с отчетным периодом 2012 года на 5222,2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, или на 31,7%. К 2016 году увеличение по сравнению с отчетным 2013 годом составит 137,5%.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8.2. муниципальных дошкольных образовательных учреждений;</w:t>
      </w:r>
    </w:p>
    <w:p w:rsidR="00E276C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 плата муниципальных дошкольных учреждений увеличилась на 1529,7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, или на 20,9% и составила 8852,40 руб.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К 2016 году прогноз увеличения данного показателя до 10757 руб., или на 21,5%.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8.3. муниципальных общеобразовательных учреждений;</w:t>
      </w:r>
    </w:p>
    <w:p w:rsidR="00E276C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 плата муниципальных общеобразовательных учреждений увеличилась на 4080,4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, или на 26,5% и составила 19501,9 руб., учителей на 3801,4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, или на 15,1% и составила 29041,4 руб.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По прогнозу к 2016 году эти показатели увеличатся соответственно на 22,8% и на 13,3%.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8.4. муниципальных учреждений культуры и искусства;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Среднемесячная номинальная заработная  плата муниципальных учреждений культуры и искусства увеличилась на 2951,4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, или на 37,3% и составила 10871,8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рогноз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увеличения к 2016 году по сравнению с отчетным периодом составляет 50,4%.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8.5. муниципальных учреждений физической культуры и спорта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Среднемесячная номинальная заработная  плата муниципальных учреждений физической культуры и спорта увеличилась на 615,2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, или на 6,5% и составила 10146,5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2016 году ожидаемое увеличение составляет 9,3%.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Дошкольное образование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На 01.01.2014 года на территории Боготольского района функционирует 9 дошкольных образовательных учреждений на 248 мест.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lastRenderedPageBreak/>
        <w:t xml:space="preserve">По состоянию  на 01.01.2014 г. численность детей, проживающих на территории муниципалитета составляет 898 человек, в том числе детей от 0 до 1,5 лет – 78 человек, от 1,5 до 3 лет – 247 человек,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7 лет – 515 человек.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Детские сады посещают 235 детей, еще 10 детей находятся в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группе полного дня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при МКОУ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Вагинской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НШДС. При 2-ух общеобразовательных учреждениях (МКОУ Александровской СОШ и МКОУ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СОШ) открыты 2-е группы кратковременного пребывания для 18 детей. В очереди для определения в дошкольные образовательные учреждения района на 01.09.2013 от  0 до 7 лет состоит 201 ребёнок.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Групп семейного воспитания при действующих детских садах, а также частных ДОУ на территории Боготольского района нет.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снизилась по сравнению с 2012 годом на 1,2% и составила 25,6%. К 2016 году этот показатель составит 32%. Это связано с уменьшением детей данного возраста по демографическим причинам и созданием </w:t>
      </w:r>
      <w:r w:rsidR="00E276CE">
        <w:rPr>
          <w:rFonts w:ascii="Times New Roman" w:hAnsi="Times New Roman" w:cs="Times New Roman"/>
          <w:sz w:val="24"/>
          <w:szCs w:val="24"/>
        </w:rPr>
        <w:t>по возможности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дополнительных мест в дошкольных учреждениях. 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1 - 6 лет составила за 2013 год 27,8%.что на 9,67% ниже уровня 2012 года. При 2-ух общеобразовательных учреждениях (МКОУ Александровской СОШ и МКОУ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СОШ) открыты 2-е группы кратковременного пребывания для 18 детей.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В МБДОУ Б-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Косульском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детском саду возможно открытие еще одной дополнительной группы на 20 мест. Это снимет напряженность обеспеченности местами в детский сад всех очередников данного населенного пункта. Для этого требуется 1505,45 тыс. руб., из них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имеющейся сметы 1300,0 тыс. руб. на ремонт и реконструкцию. Из местного бюджета заложено финансирование в размере 199,8 тыс. руб. Данные работы в полном объеме финансово не обеспечены, требуется поддержка из краевого бюджета.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В связи с запланированным  строительством детского сада  в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Завод на 45 мест по проекту повторного применения  к 2016 году данный показатель составит 20% (по данному проекту поданы заявки в министерство образования).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Доля муниципальных дошкольных образовательных учреждений, здания которых находятся в аварийном состоянии или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требуют капитального ремонта на территории района в 2013 года составляет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</w:t>
      </w:r>
      <w:r w:rsidR="006F2846">
        <w:rPr>
          <w:rFonts w:ascii="Times New Roman" w:hAnsi="Times New Roman" w:cs="Times New Roman"/>
          <w:sz w:val="24"/>
          <w:szCs w:val="24"/>
        </w:rPr>
        <w:t>11,1</w:t>
      </w:r>
      <w:r w:rsidRPr="009B27AE">
        <w:rPr>
          <w:rFonts w:ascii="Times New Roman" w:hAnsi="Times New Roman" w:cs="Times New Roman"/>
          <w:sz w:val="24"/>
          <w:szCs w:val="24"/>
        </w:rPr>
        <w:t>% (МКДОУ Краснозаводской детский сад).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Общее и дополнительное образование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сфере образования основными направлениями развития являются: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внедрение новых технологий обучения, обеспечение местами в дошкольных учреждениях, создание условий для сохранения здоровья детей, укрепление учебно-материальной базы образовательных учреждений.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На 01.01.2014 года на территории Боготольского района функционируют одно учреждение для детей дошкольного и младшего школьного возраста Вагинская начальная школа-детский сад и 10 учреждений в системе общего образования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На 01.09.2013г. общее количество учащихся школ Боготольского района составило 1006 человек.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12. Доля выпускников муниципальных общеобразовательных учреждений,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В 2013 году  в государственной итоговой аттестации выпускников средней общеобразовательной школы в форме единого государственного экзамена (ЕГЭ)  приняли участие 60 учащихся 11 классов. Аттестаты получили 58 выпускников. 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доля выпускников, сдавших ЕГЭ, в общей доле выпускников муниципальных общеобразовательных учреждениях составила 96.6%.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В связи с изменением условий сдачи государственной итоговой аттестации, а также уменьшением количества учащихся, до 2016 года прогнозируется снижение данного показателя  до 95%.  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3,3%, что на 1,6% выше уровня 2012 года.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в 2013 году 36%,что на 22,3% ниже показателя 2012 года.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Прогноз к 2016 году- 54 %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образовательных учреждения будут укомплектованы современным оборудованием.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Результатом действия краевой программы «Повышение эффективности деятельности органов местного самоуправления» были проведены следующие работы в 3-х школах: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МКОУ Александровская СОШ: замена входных дверей; частичный ремонт системы отопления; замена полов в коридоре 1-го этажа.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МБОУ Большекосульская СОШ: ремонт спортзала; ремонт столовой.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МБОУ Критовская СОШ: ремонт системы отопления; замена всех окон и дверей; капитальный ремонт спортзала;  подведение водоснабжения в классы (частично); ремонт канализации в столовой.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Кроме этого, дополнительно из местного бюджета, было выделено 635,6 тыс.руб. на ремонт образовательных учреждений, не вошедших в краевые программы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Санитарно-гигиенические требования: МКОУ Вагинская НШДС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МКОУ Булатовская СОШ ; текущие ремонтные работы во всех 10 школах ; установка пожарной сигнализации в МКОУ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Вагинской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НШДС и в МКОУ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ВагинскойСОШ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, пропитка огнезащитным составом: МКОУ Александровская СОШ, МБОУ Большекосульская, МКОУ Вагинская СОШ,  МБОУ Критовская СОШ, МБОУ Краснозаводская СОШ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здания которых находятся в аварийном состоянии или требуют капитального ремонта в районе нет.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16. Доля детей первой и второй групп здоровья в общей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численности</w:t>
      </w:r>
      <w:proofErr w:type="gramEnd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</w:t>
      </w:r>
      <w:r w:rsidRPr="009B27AE">
        <w:rPr>
          <w:rFonts w:ascii="Times New Roman" w:hAnsi="Times New Roman" w:cs="Times New Roman"/>
          <w:sz w:val="24"/>
          <w:szCs w:val="24"/>
        </w:rPr>
        <w:tab/>
        <w:t xml:space="preserve">Доля детей первой и второй групп здоровья в общей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увеличилась по сравнению с 2012 годом на 3,33% и составила в 2013 году 82,45%.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К 2016 году планируется довести этот показатель до 95 %.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Во всех образовательных учреждениях района открыты физкультурн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спортивные клубы, налажено горячее питание учащихся, регулярно проводятся профилактические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численности</w:t>
      </w:r>
      <w:proofErr w:type="gramEnd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Снижение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2013 по сравнению с 2012 годом составило 5,6%.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на перспективу с 2014 по 2016 годы ожидается увеличение этого показателя до 5,4%.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районе во вторую смену занимаются учащиеся МБОУ Боготольская СОШ, в связи с большим количеством учащихся нет возмо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B27AE">
        <w:rPr>
          <w:rFonts w:ascii="Times New Roman" w:hAnsi="Times New Roman" w:cs="Times New Roman"/>
          <w:sz w:val="24"/>
          <w:szCs w:val="24"/>
        </w:rPr>
        <w:t>ности организовать обучение только в одну смену.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2013 году составили 129,7 тыс.руб., что на 7,83 тыс.руб. больше уровня 2012 года.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Большинство учащихся общеобразовательных учреждений охвачены системой дополнительного образования (кружки по интересам, спортивные секции и пр.). 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в 2013 году 80%. что на 3,4% выше 2012 года.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Культура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За период 2013 года в Боготольском районе была сохранена сеть учреждений культуры – 26 учреждений клубного типа , 21 библиотека и 1 МБОУ ДОД ДМШ Боготольского района.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Основные показатели деятельности учреждений культуры стабильно высокие.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целях создания условий для комфортного, безопасного пребывания посетителей в  учреждениях культуры администрацией  Боготольского района проведена  работа по осуществлению в учреждениях культуры противопожарных мероприятий,  текущих ремонтов.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Благодаря вхождению в краевые целевые программы, получению грантов и субсидий, выделению средств из местного бюджета учреждения культуры Боготольского района  оснащены компьютерной техникой, музыкальным  и осветительным оборудованием.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На территории Боготольского района функционируют: 3 киноустановки МБУК РДК Боготольского района 1-стационарная установка в РДК кинозал на 300 посадочных мест, 1 передвижная установка с моторизованным экраном диагональю 381 см. (автоклуб).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С 2012 г. был поддержан проект «В село возвращается кино» и с апреля 2013 г. возобновился показ в Критовском Доме культуры. Увеличилось количество посетителей на платных мероприятиях на 15%.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Администрация района ежегодно выделяет средства для поддержки творческих коллективов Боготольского района. В 2013 году приобретена ткань в сумме 50,0 тыс. руб. на концертные костюмы для ансамбля русской народной песни «Калинушка»» МБУК ЦКС с. Б-Косуль.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Так же за счёт ДЦП «Сохранение и развитие культуры Боготольского района на 2012-2014 </w:t>
      </w:r>
      <w:proofErr w:type="spellStart"/>
      <w:proofErr w:type="gramStart"/>
      <w:r w:rsidRPr="009B27A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»  был приобретён комплект музыкальной аппаратуры для МБУК ЦКС с. Медяково СК п.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Оргинскую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библиотеку (жалюзи) на сумму 50,0 тыс. рублей.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lastRenderedPageBreak/>
        <w:t>Для повышения интереса у жителей района к чтению приобретено 47 наименований периодических изданий. В связи с обновлением книжного фонда МБУК ЦБС Боготольского района приобретено новых изданий 301 экземпляр на 1000 человек.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Регулярно дети,  молодежь и взрослое население Боготольского района  показывающие высокие результаты в сфере творчества, принимают участие в краевых, региональных, всероссийских и международных конкурсах.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клубами и учреждениями клубного типа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Уровень фактической обеспеченности клубами и учреждениями клубного типа  в муниципальном районе от нормативной потребности составил за 2013 год 100%.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библиотеками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Уровень фактической обеспеченности библиотеками в муниципальном районе от нормативной потребности составляет 77,8%.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парками культуры и отдыха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Парков культуры и отдыха на территории района нет.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21. Доля муниципальных учреждений культуры, здания которых находятся в </w:t>
      </w:r>
      <w:bookmarkStart w:id="0" w:name="_GoBack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аварийном состоянии или требуют капитального ремонта, в общем количестве </w:t>
      </w:r>
      <w:bookmarkEnd w:id="0"/>
      <w:r w:rsidRPr="009B27AE">
        <w:rPr>
          <w:rFonts w:ascii="Times New Roman" w:hAnsi="Times New Roman" w:cs="Times New Roman"/>
          <w:b/>
          <w:bCs/>
          <w:sz w:val="24"/>
          <w:szCs w:val="24"/>
        </w:rPr>
        <w:t>муниципальных учреждений культуры</w:t>
      </w:r>
    </w:p>
    <w:p w:rsidR="009B27AE" w:rsidRPr="009B27AE" w:rsidRDefault="00A05CC0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01.01.2014 года</w:t>
      </w:r>
      <w:r w:rsidR="009B27AE" w:rsidRPr="009B27AE">
        <w:rPr>
          <w:rFonts w:ascii="Times New Roman" w:hAnsi="Times New Roman" w:cs="Times New Roman"/>
          <w:sz w:val="24"/>
          <w:szCs w:val="24"/>
        </w:rPr>
        <w:t xml:space="preserve"> из 48 учреждений культуры требуют ремонта – 22, находится в аварийном состоянии МБУК СДК Боготольского района. В 17 учреждениях культуры осуществлялся текущий ремонт за счёт местного бюджета на сумму – 203,1 тыс. руб.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доля муниципальных учреждений культуры, здания которых находятся в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аврийном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состоянии или требуют капитального ремонта в общем количестве муниципальных учреждений культуры, за 2013 год составила 44%.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Объектов культурного наследия, находящихся в муниципальной собственности и требующих консервации или реставрации в муниципальной собственности на территории района нет.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Физическая культура и спорт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>В районе функционируют: муниципальное бюджетное учреждение спортивно – оздоровительный клуб «Олимпиец», муниципальное автономное учреждение спортивно-оздоровительная база отдыха «Сосновый бор», местная общественная организация «Спортивно-туристический клуб Батыр», спортивный клуб «Раскат», спортивный клуб «Динамика», спортивный клуб «Спарта», спортивный клуб «Здоровяк».</w:t>
      </w:r>
      <w:proofErr w:type="gramEnd"/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Количество спортивных залов 14, количество плоскостных сооружений в 2013 году не изменилось по сравнению с 2012 годом и составило 24 единицы.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Доля населения, систематически занимающихся физической культурой и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спортом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общей численности населения выросла на 3,63% и составила 22,7%.К 2016 году ожидается увеличение данного показателя  до 28%.</w:t>
      </w:r>
    </w:p>
    <w:p w:rsidR="00821D95" w:rsidRPr="009B27AE" w:rsidRDefault="00821D95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Жилищное строительство и обеспечение граждан жильем</w:t>
      </w:r>
    </w:p>
    <w:p w:rsidR="00821D95" w:rsidRPr="009B27AE" w:rsidRDefault="00821D95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введено в эксплуатацию 19 жилых домов, общей площадью 1168,3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(прирост к 2012 году 15,9%), в том числе 16 индивидуальных жилых домов, построенных населением. 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Проведена реконструкция 4 жилых домов общей площадью78,1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 Введен один 2-х квартирный дом в с.Боготол на переселение граждан из ветхого и аварийного жилищного фонда по государственной программе Красноярского края «Создание условий для обеспечения достойного и комфортного жилья граждан Красноярского края на 2014-2016 годы» и два одноквартирных дома по долгосрочной целевой программе Красноярского края " Улучшение жилищных условий молодых семей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и молодых специалистов в сельской местности"  на 2012-2014 годы.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24. Общая площадь жилых помещений, приходящаяся в среднем на одного жителя</w:t>
      </w: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Общая площадь жилых помещений на территории Боготольского района на 01.01.2014 года составляет 187,5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. В среднем на одного жителя района приходится 17,7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жилых помещений, что на 0,1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 больше 2012 года.</w:t>
      </w:r>
    </w:p>
    <w:p w:rsid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Ежегодный ввод жилых помещений составляет около 1,1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тыс.кв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</w:t>
      </w:r>
    </w:p>
    <w:p w:rsidR="009B27AE" w:rsidRPr="009B27AE" w:rsidRDefault="009B27AE" w:rsidP="009B27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Таким образом в связи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вводом в эксплуатацию новых жилых помещений и сокращением численности населения к  2016 году данный показатель составит 19,6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 жилья на одного жителя.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24.1. в том числе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введенная</w:t>
      </w:r>
      <w:proofErr w:type="gramEnd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 в действие за один год</w:t>
      </w:r>
    </w:p>
    <w:p w:rsidR="009B27AE" w:rsidRPr="009B27AE" w:rsidRDefault="009B27AE" w:rsidP="00B63B9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За отчетный период введено в эксплуатацию 1168,3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На одного жителя приходится 0,11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 введенного за год жилья.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25. Площадь земельных участков, предоставленных для строительства, в расчете на 10 тыс. человек населения</w:t>
      </w:r>
    </w:p>
    <w:p w:rsidR="009B27AE" w:rsidRPr="009B27AE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Увеличилось число земельных участков предоставленных для строительства на 13 единиц (увеличение к 2012 г. 62%) и составило 34 единицы, в том числе для жилищного строительства – 23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10 тыс.человек населения района приходится 8,43 га земельных участков , предоставленных для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строительства.,что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на 3,7 га больше уровня 2012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года.К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2016 году этот показатель увеличится до 9,03 га.(в основном за счет снижения численности населения).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9B27AE" w:rsidRPr="009B27AE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Площадь земельных участков предоставленных для жилищного строительства , индивидуального строительства  в 2013 году составила 6,65 га на 10 тыс.человек населения района, что на 3,62 га больше уровня 2012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2016 году этот показатель увеличится до 7,1 га.(в основном за счет снижения численности населения).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26. Площадь земельных участков, предоставленных для строительства, в отношении которых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с даты принятия</w:t>
      </w:r>
      <w:proofErr w:type="gramEnd"/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26.1. объектов жилищного строительства - в течение 3 лет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Земельных участков, предоставленных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3 лет в районе нет.</w:t>
      </w:r>
    </w:p>
    <w:p w:rsidR="0051602B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26.2. иных объектов капитального строительства - в течение 5 лет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51602B" w:rsidRDefault="0051602B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Жилищно-коммунальное хозяйство</w:t>
      </w:r>
    </w:p>
    <w:p w:rsidR="0051602B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</w:r>
    </w:p>
    <w:p w:rsidR="0051602B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Основным направлением политики района в сфере развития жилищного хозяйства является улучшение состояния жилищного фонда, активизация деятельности жилищно-коммунальных служб. </w:t>
      </w:r>
    </w:p>
    <w:p w:rsidR="009B27AE" w:rsidRPr="009B27AE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Услуги по содержанию общего имущества 260 многоквартирных домов осуществляют 2 управляющие компании: ТСЖ «Нефтяник 1», ООО «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27AE" w:rsidRPr="009B27AE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Инженерная инфраструктура района: 16 котельных, 4,6 км теплосетей, 73,9 км водопроводных сетей , 51 водозаборная скважина.  </w:t>
      </w:r>
    </w:p>
    <w:p w:rsidR="009B27AE" w:rsidRPr="009B27AE" w:rsidRDefault="009B27AE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рамках долгосрочной целевой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 на 2013-2015 годы: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приобретен автомобиль «Вакуумная машина КО-520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» на сумму 1480,00 тыс.руб. (краевой бюджет – 1465,00 тыс.руб., местный бюджет – 15,00 тыс.руб.);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 приобретены котел на твердом топливе, дымосос и насосы в котельную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на сумму 262,00 тыс.руб. (краевой бюджет – 259,00 тыс.руб., местный бюджет – 3,00 тыс.руб.);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 выполнены работы по капитальному ремонту насосной станции на скважине по ул.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Жирновавс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. Красный Завод на сумму 218 тыс.руб. (краевой бюджет – 215,00 тыс.руб., местный бюджет – 3,00 тыс.руб.);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выполнены работы по капитальному ремонту скважины по ул. Первомайской в д. Владимировка на сумму 4370,00 тыс.руб. (краевой бюджет – 4326,00 тыс.руб., местный бюджет – 44,00 тыс.руб.).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lastRenderedPageBreak/>
        <w:tab/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снизилась до 66,7% (в 2013 году из 7 организаций коммунального комплекса, 2</w:t>
      </w:r>
      <w:r w:rsidR="0051602B">
        <w:rPr>
          <w:rFonts w:ascii="Times New Roman" w:hAnsi="Times New Roman" w:cs="Times New Roman"/>
          <w:sz w:val="24"/>
          <w:szCs w:val="24"/>
        </w:rPr>
        <w:t>-</w:t>
      </w:r>
      <w:r w:rsidRPr="009B27AE">
        <w:rPr>
          <w:rFonts w:ascii="Times New Roman" w:hAnsi="Times New Roman" w:cs="Times New Roman"/>
          <w:sz w:val="24"/>
          <w:szCs w:val="24"/>
        </w:rPr>
        <w:t xml:space="preserve"> муниципальные организации МУП "РТЭК" и МСКП "Услуга").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В отношении 10% земельных 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на которых расположены многоквартирные дома осуществлен земельный кадастровый учет, к 2016 году планируется зарегистрировать еще 5% таких земельных участков.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proofErr w:type="gramStart"/>
      <w:r w:rsidRPr="009B27AE">
        <w:rPr>
          <w:rFonts w:ascii="Times New Roman" w:hAnsi="Times New Roman" w:cs="Times New Roman"/>
          <w:b/>
          <w:bCs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822"/>
        <w:gridCol w:w="1135"/>
        <w:gridCol w:w="1135"/>
        <w:gridCol w:w="1135"/>
        <w:gridCol w:w="1135"/>
      </w:tblGrid>
      <w:tr w:rsidR="009B27AE" w:rsidRPr="009B27AE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B27AE" w:rsidRPr="009B27AE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7AE" w:rsidRPr="009B27AE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9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договору социального найма</w:t>
            </w: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  <w:r w:rsidRPr="009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7AE" w:rsidRPr="009B27AE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9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социального найма</w:t>
            </w: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прошлого года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B27AE" w:rsidRPr="009B27AE" w:rsidRDefault="009B27AE" w:rsidP="009B2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На территории Боготольского района ввода и высвобождения жилья , относящегося к  муниципальной собственности, за исключением программы по переселению жителей из ветхого и аварийного жилья и программы поддержки молодых специалистов, в 2013 году не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было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троительство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жилья муниципальной собственности ведется за счет выделения финансирования по действующим целевым программам.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Организация муниципального управления</w:t>
      </w:r>
    </w:p>
    <w:p w:rsidR="0051602B" w:rsidRDefault="0051602B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Доходы консолидированного бюджета исполнены в сумме 450,3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или 96,2 % от уточненного плана на 2013 года. Собственные доходы исполнены в сумме 60,1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или 101,7 % от уточненного плана (в суммовом выражении перевыполнение составило 1,0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). Безвозмездные поступления из других бюджетов выполнены на 95,5 % от плана или 401,4 млн. рублей, в том числе: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дотации – 100 % - 116,6 млн. рублей,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>- субсидии – 76,2% - 54,5 млн. рублей (экономии по конкурсу - 0,5 млн. руб., комплексная застройка поселений – 15,4 млн. руб., жилье молодых семей - 0,9 млн. руб.-3 семьи не нашли подходящего жилья),</w:t>
      </w:r>
      <w:proofErr w:type="gramEnd"/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AE">
        <w:rPr>
          <w:rFonts w:ascii="Times New Roman" w:hAnsi="Times New Roman" w:cs="Times New Roman"/>
          <w:sz w:val="24"/>
          <w:szCs w:val="24"/>
        </w:rPr>
        <w:t>- субвенции – 99,2 % - 216,5 млн. рублей (выплаты родителям от 1,5 до 3 лет – 0,7 млн. руб., обеспечение жилыми помещениями детей-сирот – 0,3 млн. рублей, субвенция по воинскому учету - 0,1 млн. руб.),</w:t>
      </w:r>
      <w:proofErr w:type="gramEnd"/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иные МБТ – 86,4 % - 1,9 млн. рублей (паводковые мероприятия - 0,2 млн. руб. выделены по истечении срока использования).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Расходы консолидированного бюджета исполнены на 95,4 % или 459,6 млн. рублей: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Образование</w:t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  <w:t>– 99,4 % (184,6 млн. рублей),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Физическая культура и спорт</w:t>
      </w:r>
      <w:r w:rsidRPr="009B27AE">
        <w:rPr>
          <w:rFonts w:ascii="Times New Roman" w:hAnsi="Times New Roman" w:cs="Times New Roman"/>
          <w:sz w:val="24"/>
          <w:szCs w:val="24"/>
        </w:rPr>
        <w:tab/>
        <w:t>– 98,6 % (2,3 млн. рублей),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Культура</w:t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  <w:t>– 99,8 % (47,6 млн. рублей),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Управление</w:t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</w:r>
      <w:r w:rsidRPr="009B27AE">
        <w:rPr>
          <w:rFonts w:ascii="Times New Roman" w:hAnsi="Times New Roman" w:cs="Times New Roman"/>
          <w:sz w:val="24"/>
          <w:szCs w:val="24"/>
        </w:rPr>
        <w:tab/>
        <w:t>– 98,9 % (77,3 млн. рублей),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Здравоохранение                               – 100 % (7,9 млн. рублей),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Социальная политика                         – 97,1 % (86,9 млн. рублей).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В 2013 году из районного бюджета на реализацию 17 долгосрочных целевых программ было направлено 3,2 млн. рублей. ДЦП исполнены на 99,2 %.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 Межбюджетные трансферты (субвенции, субсидии, иные трансферты) направлялись на финансирование расходных полномочий по 90 направлениям (в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 5 – МБТ от поселений, 11 – федеральный бюджет, 74 – краевой бюджет).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В структуре собственных доходов налог на доходы физических лиц занимает основной удельный вес (83,7%), доходы от использования имущества, находящегося государственной и муниципальной собственности -7,3%, единый налог на вмененный доход для отдельных видов деятельности  составил -2,3%, земельный налог-2,8%.</w:t>
      </w:r>
      <w:r w:rsidRPr="009B27AE">
        <w:rPr>
          <w:rFonts w:ascii="Times New Roman" w:hAnsi="Times New Roman" w:cs="Times New Roman"/>
          <w:sz w:val="24"/>
          <w:szCs w:val="24"/>
        </w:rPr>
        <w:tab/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          Обеспечено выполнение плановых назначений по собственным доходам всеми сельскими советами. Было выполнено 100% софинансирование всех программ, грантов.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2013 году 10,28%, что ниже уровня 2012 года на 1,17%. До 2016 года ожидаемое увеличение данного показателя по сравнению с 2013 годом составит 4,98%.</w:t>
      </w:r>
      <w:proofErr w:type="gramEnd"/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Организации муниципальной формы собственности, находящиеся в стадии банкротства, на тер</w:t>
      </w:r>
      <w:r w:rsidR="0051602B">
        <w:rPr>
          <w:rFonts w:ascii="Times New Roman" w:hAnsi="Times New Roman" w:cs="Times New Roman"/>
          <w:sz w:val="24"/>
          <w:szCs w:val="24"/>
        </w:rPr>
        <w:t>р</w:t>
      </w:r>
      <w:r w:rsidRPr="009B27AE">
        <w:rPr>
          <w:rFonts w:ascii="Times New Roman" w:hAnsi="Times New Roman" w:cs="Times New Roman"/>
          <w:sz w:val="24"/>
          <w:szCs w:val="24"/>
        </w:rPr>
        <w:t>итории муниципального района отсутствуют.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В 2013 году не допущена кредиторская задолженность бюджетных учреждений. Задолженности по заработной плате перед работниками бюджетной сферы нет.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В связи с исполнением действующих указов президента по оплате труда в муниципальных бюджетных учреждениях расходы бюджета района на содержание работников органов местного самоуправления в расчете на одного жителя муниципального образования увеличились по сравнению с 2012 годом на 70,28 рублей и составили 4280,9 рублей. К 2016 году в связи с ростом инфляции с одной стороны и снижением численности населения района с другой стороны этот показатель увеличится на 687,68 рублей и составит 4967,68 рублей. 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Решением Совета депутатов от 05.10.2010г. № 6-26 утверждена схема территориального планирования Боготольского района.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51602B" w:rsidRPr="0051602B" w:rsidRDefault="0051602B" w:rsidP="005160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02B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02B">
        <w:rPr>
          <w:rFonts w:ascii="Times New Roman" w:hAnsi="Times New Roman" w:cs="Times New Roman"/>
          <w:sz w:val="24"/>
          <w:szCs w:val="24"/>
        </w:rPr>
        <w:t>независимых опросов населения уровень удовлетворенности населения  деятельностью органов местного самоуправления Боготольского района составляет 35,6%.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38. 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Среднегодовая численность постоянного населения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 xml:space="preserve">Показатель среднегодовой численности населения в 2013 году составил 10515 человек, что ниже уровня 2012 года на 267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прогнозу к 2016 году численность населения района снизится до 9853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человек.Это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связано со снижением рождаемости, увеличением смертности, а также отрицательным миграционным приростом.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Энергосбережение и повышение энергетической эффективности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Удельная величина потребления энергетических ресурсов в многоквартирных домах составляет:</w:t>
      </w:r>
      <w:r w:rsidRPr="009B27AE">
        <w:rPr>
          <w:rFonts w:ascii="Times New Roman" w:hAnsi="Times New Roman" w:cs="Times New Roman"/>
          <w:sz w:val="24"/>
          <w:szCs w:val="24"/>
        </w:rPr>
        <w:tab/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-электрическая энергия- 1014,3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. на 1 проживающего, что меньше 2012 года на 65,7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-тепловая энерги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расход на одного проживающего составил 0,36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Гкал,на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уровне 2012 года;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-холодная вод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 расход на 1 проживающегося увеличился на 5,45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куб.метров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по сравнению с 2012 годом и составил 21,6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куб.метра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</w:t>
      </w:r>
      <w:r w:rsidR="0051602B">
        <w:rPr>
          <w:rFonts w:ascii="Times New Roman" w:hAnsi="Times New Roman" w:cs="Times New Roman"/>
          <w:sz w:val="24"/>
          <w:szCs w:val="24"/>
        </w:rPr>
        <w:t xml:space="preserve"> </w:t>
      </w:r>
      <w:r w:rsidRPr="009B27AE">
        <w:rPr>
          <w:rFonts w:ascii="Times New Roman" w:hAnsi="Times New Roman" w:cs="Times New Roman"/>
          <w:sz w:val="24"/>
          <w:szCs w:val="24"/>
        </w:rPr>
        <w:t>Причиной является увеличение пользователей водопроводными сетями для полива приусадебных участков.</w:t>
      </w:r>
      <w:r w:rsidRPr="009B27AE">
        <w:rPr>
          <w:rFonts w:ascii="Times New Roman" w:hAnsi="Times New Roman" w:cs="Times New Roman"/>
          <w:sz w:val="24"/>
          <w:szCs w:val="24"/>
        </w:rPr>
        <w:tab/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ab/>
        <w:t>Удельная величина потребления энергетических ресурсов бюджетными учреждениями составляет:</w:t>
      </w:r>
      <w:r w:rsidRPr="009B27AE">
        <w:rPr>
          <w:rFonts w:ascii="Times New Roman" w:hAnsi="Times New Roman" w:cs="Times New Roman"/>
          <w:sz w:val="24"/>
          <w:szCs w:val="24"/>
        </w:rPr>
        <w:tab/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-электрическая энергия-465,6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9B27AE">
        <w:rPr>
          <w:rFonts w:ascii="Times New Roman" w:hAnsi="Times New Roman" w:cs="Times New Roman"/>
          <w:sz w:val="24"/>
          <w:szCs w:val="24"/>
        </w:rPr>
        <w:t xml:space="preserve">. на 1 человека населения, что больше 2012 года на 55,8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-тепловая энергия-расход на одного человека населения составил 0,24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Гкал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больше 2012 года на 0,12 Гкал;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-холодная вода-расход на 1 человека населения увеличился на 5,45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9B27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27AE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по сравнению с 2012 годом и составил 21,6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куб.метра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>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 xml:space="preserve">Причиной увеличения потребления энергетических ресурсов явился ввод в действие после капитального ремонта зданий Юрьевского СДК и </w:t>
      </w:r>
      <w:proofErr w:type="spellStart"/>
      <w:r w:rsidRPr="009B27AE">
        <w:rPr>
          <w:rFonts w:ascii="Times New Roman" w:hAnsi="Times New Roman" w:cs="Times New Roman"/>
          <w:sz w:val="24"/>
          <w:szCs w:val="24"/>
        </w:rPr>
        <w:t>Оргинского</w:t>
      </w:r>
      <w:proofErr w:type="spellEnd"/>
      <w:r w:rsidRPr="009B27AE">
        <w:rPr>
          <w:rFonts w:ascii="Times New Roman" w:hAnsi="Times New Roman" w:cs="Times New Roman"/>
          <w:sz w:val="24"/>
          <w:szCs w:val="24"/>
        </w:rPr>
        <w:t xml:space="preserve"> СДК (изменилась в сторону увеличения площадь используемых помещений).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7AE" w:rsidRDefault="009B27AE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7A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9B27AE">
        <w:rPr>
          <w:rFonts w:ascii="Times New Roman" w:hAnsi="Times New Roman" w:cs="Times New Roman"/>
          <w:b/>
          <w:bCs/>
          <w:sz w:val="24"/>
          <w:szCs w:val="24"/>
        </w:rPr>
        <w:t>. Проблемы при формировании доклада</w:t>
      </w:r>
    </w:p>
    <w:p w:rsidR="0051602B" w:rsidRPr="009B27AE" w:rsidRDefault="0051602B" w:rsidP="009B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При формировании доклада главы по оценке эффективности ОМСУ отмечены следующие проблемы: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 отсутствие, либо недостоверность необходимой информации в статистических сборниках;</w:t>
      </w:r>
    </w:p>
    <w:p w:rsidR="009B27AE" w:rsidRPr="009B27AE" w:rsidRDefault="009B27AE" w:rsidP="009B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7AE">
        <w:rPr>
          <w:rFonts w:ascii="Times New Roman" w:hAnsi="Times New Roman" w:cs="Times New Roman"/>
          <w:sz w:val="24"/>
          <w:szCs w:val="24"/>
        </w:rPr>
        <w:t>-  проблема взаимодействия и  получения необходимой информации для Мониторинга СЭР от предприятий района;</w:t>
      </w:r>
    </w:p>
    <w:p w:rsidR="009B27AE" w:rsidRPr="009B27AE" w:rsidRDefault="009B27AE" w:rsidP="009B27AE">
      <w:pPr>
        <w:contextualSpacing/>
        <w:jc w:val="both"/>
        <w:rPr>
          <w:rFonts w:ascii="Times New Roman CYR" w:hAnsi="Times New Roman CYR" w:cs="Times New Roman CYR"/>
        </w:rPr>
      </w:pPr>
      <w:r w:rsidRPr="009B27AE">
        <w:rPr>
          <w:rFonts w:ascii="Times New Roman" w:hAnsi="Times New Roman" w:cs="Times New Roman"/>
          <w:sz w:val="24"/>
          <w:szCs w:val="24"/>
        </w:rPr>
        <w:t>-  отсутствие возможности отслеживать постановку на учет и снятие с учета субъектов малого предпринимательства, осуществляемых налоговыми органами.</w:t>
      </w:r>
    </w:p>
    <w:p w:rsidR="009B27AE" w:rsidRPr="009B27AE" w:rsidRDefault="009B27AE" w:rsidP="009B27AE">
      <w:pPr>
        <w:rPr>
          <w:rFonts w:ascii="Times New Roman CYR" w:hAnsi="Times New Roman CYR" w:cs="Times New Roman CYR"/>
        </w:rPr>
      </w:pPr>
    </w:p>
    <w:p w:rsidR="000716C6" w:rsidRPr="009B27AE" w:rsidRDefault="000716C6" w:rsidP="009B27AE"/>
    <w:sectPr w:rsidR="000716C6" w:rsidRPr="009B27AE" w:rsidSect="004B70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68"/>
    <w:rsid w:val="00020B5C"/>
    <w:rsid w:val="000716C6"/>
    <w:rsid w:val="0051602B"/>
    <w:rsid w:val="00683E70"/>
    <w:rsid w:val="006F2846"/>
    <w:rsid w:val="00730B56"/>
    <w:rsid w:val="00821D95"/>
    <w:rsid w:val="009B27AE"/>
    <w:rsid w:val="00A05CC0"/>
    <w:rsid w:val="00A26FDD"/>
    <w:rsid w:val="00B63B91"/>
    <w:rsid w:val="00BB43E7"/>
    <w:rsid w:val="00BF341A"/>
    <w:rsid w:val="00CA2D68"/>
    <w:rsid w:val="00DA34A2"/>
    <w:rsid w:val="00E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77E4-E47E-4E9B-8194-EFE2EAC4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Economer</dc:creator>
  <cp:keywords/>
  <dc:description/>
  <cp:lastModifiedBy>Economer</cp:lastModifiedBy>
  <cp:revision>8</cp:revision>
  <cp:lastPrinted>2014-04-30T04:49:00Z</cp:lastPrinted>
  <dcterms:created xsi:type="dcterms:W3CDTF">2014-04-30T03:19:00Z</dcterms:created>
  <dcterms:modified xsi:type="dcterms:W3CDTF">2014-04-30T06:03:00Z</dcterms:modified>
</cp:coreProperties>
</file>