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E09BE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C1D863" w14:textId="77777777" w:rsidR="00707ED7" w:rsidRPr="002D72B7" w:rsidRDefault="00707ED7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2B7">
        <w:rPr>
          <w:rFonts w:ascii="Times New Roman" w:hAnsi="Times New Roman"/>
          <w:b/>
          <w:bCs/>
          <w:sz w:val="24"/>
          <w:szCs w:val="24"/>
          <w:u w:val="single"/>
        </w:rPr>
        <w:t xml:space="preserve">Пояснительная записка к докладу Главы </w:t>
      </w:r>
      <w:proofErr w:type="spellStart"/>
      <w:r w:rsidRPr="002D72B7">
        <w:rPr>
          <w:rFonts w:ascii="Times New Roman" w:hAnsi="Times New Roman"/>
          <w:b/>
          <w:bCs/>
          <w:sz w:val="24"/>
          <w:szCs w:val="24"/>
          <w:u w:val="single"/>
        </w:rPr>
        <w:t>Боготольского</w:t>
      </w:r>
      <w:proofErr w:type="spellEnd"/>
      <w:r w:rsidRPr="002D72B7">
        <w:rPr>
          <w:rFonts w:ascii="Times New Roman" w:hAnsi="Times New Roman"/>
          <w:b/>
          <w:bCs/>
          <w:sz w:val="24"/>
          <w:szCs w:val="24"/>
          <w:u w:val="single"/>
        </w:rPr>
        <w:t xml:space="preserve"> района</w:t>
      </w:r>
    </w:p>
    <w:p w14:paraId="10973897" w14:textId="1077E092" w:rsidR="00707ED7" w:rsidRPr="002D72B7" w:rsidRDefault="00707ED7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о достигнутых значениях показателей для оценки эффективности деятельности органов местного самоуправления</w:t>
      </w:r>
      <w:r w:rsidR="002D72B7">
        <w:rPr>
          <w:rFonts w:ascii="Times New Roman" w:hAnsi="Times New Roman"/>
          <w:sz w:val="24"/>
          <w:szCs w:val="24"/>
        </w:rPr>
        <w:t xml:space="preserve"> </w:t>
      </w:r>
      <w:r w:rsidRPr="002D72B7">
        <w:rPr>
          <w:rFonts w:ascii="Times New Roman" w:hAnsi="Times New Roman"/>
          <w:sz w:val="24"/>
          <w:szCs w:val="24"/>
        </w:rPr>
        <w:t xml:space="preserve">городских округов и муниципальных районов </w:t>
      </w:r>
      <w:r w:rsidRPr="002D72B7">
        <w:rPr>
          <w:rFonts w:ascii="Times New Roman" w:hAnsi="Times New Roman"/>
          <w:sz w:val="24"/>
          <w:szCs w:val="24"/>
        </w:rPr>
        <w:br/>
        <w:t>за 202</w:t>
      </w:r>
      <w:r w:rsidRPr="002D72B7">
        <w:rPr>
          <w:rFonts w:ascii="Times New Roman" w:hAnsi="Times New Roman"/>
          <w:sz w:val="24"/>
          <w:szCs w:val="24"/>
        </w:rPr>
        <w:t>4</w:t>
      </w:r>
      <w:r w:rsidRPr="002D72B7">
        <w:rPr>
          <w:rFonts w:ascii="Times New Roman" w:hAnsi="Times New Roman"/>
          <w:sz w:val="24"/>
          <w:szCs w:val="24"/>
        </w:rPr>
        <w:t xml:space="preserve"> год и их планируемых значениях на 3-летний период</w:t>
      </w:r>
    </w:p>
    <w:p w14:paraId="1462BE9E" w14:textId="77777777" w:rsidR="00707ED7" w:rsidRPr="002D72B7" w:rsidRDefault="00707ED7" w:rsidP="002D72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5AB5D7" w14:textId="7D8872BB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</w:rPr>
        <w:t>I. Экономическое развитие</w:t>
      </w:r>
    </w:p>
    <w:p w14:paraId="0DFEC10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405E80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72B7">
        <w:rPr>
          <w:rFonts w:ascii="Times New Roman" w:hAnsi="Times New Roman"/>
          <w:sz w:val="24"/>
          <w:szCs w:val="24"/>
        </w:rPr>
        <w:t>Боготольский</w:t>
      </w:r>
      <w:proofErr w:type="spellEnd"/>
      <w:r w:rsidRPr="002D72B7">
        <w:rPr>
          <w:rFonts w:ascii="Times New Roman" w:hAnsi="Times New Roman"/>
          <w:sz w:val="24"/>
          <w:szCs w:val="24"/>
        </w:rPr>
        <w:t xml:space="preserve"> район расположен в западной части Красноярского края, на расстоянии 252 км от краевого центра и граничит на западе с Кемеровской облас</w:t>
      </w:r>
      <w:r w:rsidRPr="002D72B7">
        <w:rPr>
          <w:rFonts w:ascii="Times New Roman" w:hAnsi="Times New Roman"/>
          <w:sz w:val="24"/>
          <w:szCs w:val="24"/>
        </w:rPr>
        <w:t xml:space="preserve">тью, на севере с </w:t>
      </w:r>
      <w:proofErr w:type="spellStart"/>
      <w:r w:rsidRPr="002D72B7">
        <w:rPr>
          <w:rFonts w:ascii="Times New Roman" w:hAnsi="Times New Roman"/>
          <w:sz w:val="24"/>
          <w:szCs w:val="24"/>
        </w:rPr>
        <w:t>Тюхтетским</w:t>
      </w:r>
      <w:proofErr w:type="spellEnd"/>
      <w:r w:rsidRPr="002D72B7">
        <w:rPr>
          <w:rFonts w:ascii="Times New Roman" w:hAnsi="Times New Roman"/>
          <w:sz w:val="24"/>
          <w:szCs w:val="24"/>
        </w:rPr>
        <w:t xml:space="preserve"> районом, на востоке с </w:t>
      </w:r>
      <w:proofErr w:type="spellStart"/>
      <w:r w:rsidRPr="002D72B7">
        <w:rPr>
          <w:rFonts w:ascii="Times New Roman" w:hAnsi="Times New Roman"/>
          <w:sz w:val="24"/>
          <w:szCs w:val="24"/>
        </w:rPr>
        <w:t>Большеулуйским</w:t>
      </w:r>
      <w:proofErr w:type="spellEnd"/>
      <w:r w:rsidRPr="002D72B7">
        <w:rPr>
          <w:rFonts w:ascii="Times New Roman" w:hAnsi="Times New Roman"/>
          <w:sz w:val="24"/>
          <w:szCs w:val="24"/>
        </w:rPr>
        <w:t xml:space="preserve"> и Ачинским районами, на юге с Назаровским районом.</w:t>
      </w:r>
    </w:p>
    <w:p w14:paraId="1D75FB04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Протяженность района с запада на восток 52 км, с севера на юг 85 км. Территория района в административных границах составляет 2 921,58 кв. к</w:t>
      </w:r>
      <w:r w:rsidRPr="002D72B7">
        <w:rPr>
          <w:rFonts w:ascii="Times New Roman" w:hAnsi="Times New Roman"/>
          <w:sz w:val="24"/>
          <w:szCs w:val="24"/>
        </w:rPr>
        <w:t xml:space="preserve">м. </w:t>
      </w:r>
    </w:p>
    <w:p w14:paraId="522B89DE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ab/>
        <w:t xml:space="preserve">На территории района на 31.12.2024 года проживало 7495 человек.  </w:t>
      </w:r>
    </w:p>
    <w:p w14:paraId="6B54DE94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ab/>
        <w:t xml:space="preserve">Административный центр района – город Боготол. </w:t>
      </w:r>
    </w:p>
    <w:p w14:paraId="44B46B6F" w14:textId="1863F2BD" w:rsidR="002D72B7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Всего на территории района восемь сельских поселений с тридцатью восемью населенными пунктами.</w:t>
      </w:r>
    </w:p>
    <w:p w14:paraId="6B167213" w14:textId="6AABA9EE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</w:rPr>
        <w:t>1. Число субъектов малого и среднего пр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</w:rPr>
        <w:t>едпринимательства,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14:paraId="5723329F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 xml:space="preserve">На конец 2024 года на территории </w:t>
      </w:r>
      <w:proofErr w:type="spellStart"/>
      <w:r w:rsidRPr="002D72B7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</w:rPr>
        <w:t xml:space="preserve"> района зарегистрировано 107 субъектов малого предпринимательства: 16 организаций малого предпринимательства (юридических лиц) и 91 индивидуальный предприниматель. Крупные и средние субъекты предпринимательства на территории района не зарегист</w:t>
      </w:r>
      <w:r w:rsidRPr="002D72B7">
        <w:rPr>
          <w:rFonts w:ascii="Times New Roman" w:hAnsi="Times New Roman"/>
          <w:sz w:val="24"/>
          <w:szCs w:val="24"/>
        </w:rPr>
        <w:t>рированы.</w:t>
      </w:r>
    </w:p>
    <w:p w14:paraId="7C59D101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ab/>
        <w:t>Среднесписочная численность работников у СМСП по полному кругу за 2024 год составила 152 человека.</w:t>
      </w:r>
    </w:p>
    <w:p w14:paraId="1CB40C00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 xml:space="preserve">С целью создания благоприятных условий для устойчивого развития малого и среднего предпринимательства в </w:t>
      </w:r>
      <w:proofErr w:type="spellStart"/>
      <w:r w:rsidRPr="002D72B7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Pr="002D72B7">
        <w:rPr>
          <w:rFonts w:ascii="Times New Roman" w:hAnsi="Times New Roman"/>
          <w:sz w:val="24"/>
          <w:szCs w:val="24"/>
        </w:rPr>
        <w:t xml:space="preserve"> районе в 2024 году государств</w:t>
      </w:r>
      <w:r w:rsidRPr="002D72B7">
        <w:rPr>
          <w:rFonts w:ascii="Times New Roman" w:hAnsi="Times New Roman"/>
          <w:sz w:val="24"/>
          <w:szCs w:val="24"/>
        </w:rPr>
        <w:t>енная поддержка предпринимательства была направлена на сохранение рабочих мест действующими субъектами малого и среднего предпринимательства и поддержку начинающих предпринимателей и самозанятых граждан:</w:t>
      </w:r>
    </w:p>
    <w:p w14:paraId="423D208F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сумма субсидии на поддержку предпринимателей, приним</w:t>
      </w:r>
      <w:r w:rsidRPr="002D72B7">
        <w:rPr>
          <w:rFonts w:ascii="Times New Roman" w:hAnsi="Times New Roman"/>
          <w:sz w:val="24"/>
          <w:szCs w:val="24"/>
        </w:rPr>
        <w:t>ающих обязательство о сохранении рабочих мест в течение 12 месяцев, составила 642, 21 тыс. руб., за счет которой возмещена часть затрат на приобретение:</w:t>
      </w:r>
    </w:p>
    <w:p w14:paraId="3E16EF82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 xml:space="preserve">пресс – подборщика рулонного ПР -145 С ИП Главе К(Ф)Х Аветисян А.А. 288,21 </w:t>
      </w:r>
      <w:proofErr w:type="spellStart"/>
      <w:r w:rsidRPr="002D72B7">
        <w:rPr>
          <w:rFonts w:ascii="Times New Roman" w:hAnsi="Times New Roman"/>
          <w:sz w:val="24"/>
          <w:szCs w:val="24"/>
        </w:rPr>
        <w:t>тыс.руб</w:t>
      </w:r>
      <w:proofErr w:type="spellEnd"/>
      <w:r w:rsidRPr="002D72B7">
        <w:rPr>
          <w:rFonts w:ascii="Times New Roman" w:hAnsi="Times New Roman"/>
          <w:sz w:val="24"/>
          <w:szCs w:val="24"/>
        </w:rPr>
        <w:t>. и очистителя вороха</w:t>
      </w:r>
      <w:r w:rsidRPr="002D7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2B7">
        <w:rPr>
          <w:rFonts w:ascii="Times New Roman" w:hAnsi="Times New Roman"/>
          <w:sz w:val="24"/>
          <w:szCs w:val="24"/>
        </w:rPr>
        <w:t>самопередвижного</w:t>
      </w:r>
      <w:proofErr w:type="spellEnd"/>
      <w:r w:rsidRPr="002D72B7">
        <w:rPr>
          <w:rFonts w:ascii="Times New Roman" w:hAnsi="Times New Roman"/>
          <w:sz w:val="24"/>
          <w:szCs w:val="24"/>
        </w:rPr>
        <w:t>, типа ОВС-25 ИП Главе К(Ф)Х Запольской П.К. 354,0 тыс. руб.;</w:t>
      </w:r>
    </w:p>
    <w:p w14:paraId="10EF14BD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объем грантовой поддержки начинающим предпринимателям получил ИП Смоляков Сергей Викторович в сумме 300,00 тыс. рублей.</w:t>
      </w:r>
    </w:p>
    <w:p w14:paraId="3EFB4737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С целью поддержки малого бизнеса сформирован перечень мун</w:t>
      </w:r>
      <w:r w:rsidRPr="002D72B7">
        <w:rPr>
          <w:rFonts w:ascii="Times New Roman" w:hAnsi="Times New Roman"/>
          <w:sz w:val="24"/>
          <w:szCs w:val="24"/>
        </w:rPr>
        <w:t xml:space="preserve">иципального имущества, предназначенного для возможного использования малым бизнесом, включающий в себя 19 объектов общей площадью 8402 кв. метра. </w:t>
      </w:r>
    </w:p>
    <w:p w14:paraId="48E7D76E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Для организации освещения вопросов малого и среднего предпринимательства в средствах массовой информации (газ</w:t>
      </w:r>
      <w:r w:rsidRPr="002D72B7">
        <w:rPr>
          <w:rFonts w:ascii="Times New Roman" w:hAnsi="Times New Roman"/>
          <w:sz w:val="24"/>
          <w:szCs w:val="24"/>
        </w:rPr>
        <w:t xml:space="preserve">ета «Земля </w:t>
      </w:r>
      <w:proofErr w:type="spellStart"/>
      <w:r w:rsidRPr="002D72B7">
        <w:rPr>
          <w:rFonts w:ascii="Times New Roman" w:hAnsi="Times New Roman"/>
          <w:sz w:val="24"/>
          <w:szCs w:val="24"/>
        </w:rPr>
        <w:t>Боготольская</w:t>
      </w:r>
      <w:proofErr w:type="spellEnd"/>
      <w:r w:rsidRPr="002D72B7">
        <w:rPr>
          <w:rFonts w:ascii="Times New Roman" w:hAnsi="Times New Roman"/>
          <w:sz w:val="24"/>
          <w:szCs w:val="24"/>
        </w:rPr>
        <w:t xml:space="preserve">») в 2024 году было опубликовано 9 статей, касающихся развития, поддержки и информирования субъектов МСП </w:t>
      </w:r>
      <w:proofErr w:type="spellStart"/>
      <w:r w:rsidRPr="002D72B7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</w:rPr>
        <w:t xml:space="preserve"> района, в социальных сетях «</w:t>
      </w:r>
      <w:proofErr w:type="spellStart"/>
      <w:r w:rsidRPr="002D72B7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D72B7">
        <w:rPr>
          <w:rFonts w:ascii="Times New Roman" w:hAnsi="Times New Roman"/>
          <w:sz w:val="24"/>
          <w:szCs w:val="24"/>
        </w:rPr>
        <w:t>» и «Одноклассники», мессенджере Телеграмм-канал ежемесячно размещалось около</w:t>
      </w:r>
      <w:r w:rsidRPr="002D72B7">
        <w:rPr>
          <w:rFonts w:ascii="Times New Roman" w:hAnsi="Times New Roman"/>
          <w:sz w:val="24"/>
          <w:szCs w:val="24"/>
        </w:rPr>
        <w:t xml:space="preserve"> 10 публикаций.</w:t>
      </w:r>
    </w:p>
    <w:p w14:paraId="0140779F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lastRenderedPageBreak/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14:paraId="2139CE61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В течении 2024 года</w:t>
      </w:r>
      <w:r w:rsidRPr="002D72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D72B7">
        <w:rPr>
          <w:rFonts w:ascii="Times New Roman" w:hAnsi="Times New Roman"/>
          <w:sz w:val="24"/>
          <w:szCs w:val="24"/>
        </w:rPr>
        <w:t>консультирование по вопросам ведения предпринимательской деятельности, обучения, составления</w:t>
      </w:r>
      <w:r w:rsidRPr="002D72B7">
        <w:rPr>
          <w:rFonts w:ascii="Times New Roman" w:hAnsi="Times New Roman"/>
          <w:sz w:val="24"/>
          <w:szCs w:val="24"/>
        </w:rPr>
        <w:t xml:space="preserve"> бизнес-планов, оказания финансовой поддержки и решения других вопросов осуществлялось в рамках работы представительства Центра «Мой бизнес» в администрации </w:t>
      </w:r>
      <w:proofErr w:type="spellStart"/>
      <w:r w:rsidRPr="002D72B7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</w:rPr>
        <w:t xml:space="preserve"> района. </w:t>
      </w:r>
    </w:p>
    <w:p w14:paraId="41AF1AE2" w14:textId="4CAA00A3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ab/>
        <w:t>Число субъектов малого и среднего предпринимательства на 10000 человек насе</w:t>
      </w:r>
      <w:r w:rsidRPr="002D72B7">
        <w:rPr>
          <w:rFonts w:ascii="Times New Roman" w:hAnsi="Times New Roman"/>
          <w:sz w:val="24"/>
          <w:szCs w:val="24"/>
        </w:rPr>
        <w:t>ления района на конец 2024 года снизилось по сравнению с 2023 годом и составило 142,76 единицы.</w:t>
      </w:r>
      <w:r w:rsidR="00937416">
        <w:rPr>
          <w:rFonts w:ascii="Times New Roman" w:hAnsi="Times New Roman"/>
          <w:sz w:val="24"/>
          <w:szCs w:val="24"/>
        </w:rPr>
        <w:t xml:space="preserve"> </w:t>
      </w:r>
      <w:r w:rsidRPr="002D72B7">
        <w:rPr>
          <w:rFonts w:ascii="Times New Roman" w:hAnsi="Times New Roman"/>
          <w:sz w:val="24"/>
          <w:szCs w:val="24"/>
        </w:rPr>
        <w:t>Снижение данного показателя произошло по причине прекращения деятельности в 2024 году трех индивидуальных предпринимателей. К 2027 году значение этого показателя</w:t>
      </w:r>
      <w:r w:rsidRPr="002D72B7">
        <w:rPr>
          <w:rFonts w:ascii="Times New Roman" w:hAnsi="Times New Roman"/>
          <w:sz w:val="24"/>
          <w:szCs w:val="24"/>
        </w:rPr>
        <w:t xml:space="preserve"> планируется в размере 163,32 единиц.</w:t>
      </w:r>
    </w:p>
    <w:p w14:paraId="75A7258E" w14:textId="77777777" w:rsidR="00000000" w:rsidRPr="002D72B7" w:rsidRDefault="00887419" w:rsidP="002D72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ab/>
        <w:t>В 2024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</w:t>
      </w:r>
      <w:r w:rsidRPr="002D72B7">
        <w:rPr>
          <w:rFonts w:ascii="Times New Roman" w:hAnsi="Times New Roman"/>
          <w:sz w:val="24"/>
          <w:szCs w:val="24"/>
        </w:rPr>
        <w:t>вила 19,04%, в связи с увеличением численности ООО «Зеленый мир» (растениеводство) и в потребительском гаражном кооперативе «Электрик» (деятельность стоянок для транспортных средств).</w:t>
      </w:r>
    </w:p>
    <w:p w14:paraId="2858ABD4" w14:textId="30E73D2A" w:rsidR="00000000" w:rsidRPr="002D72B7" w:rsidRDefault="00887419" w:rsidP="002D72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ab/>
        <w:t>В сфере развития малого предпринимательства</w:t>
      </w:r>
      <w:r w:rsidRPr="002D72B7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2D72B7">
        <w:rPr>
          <w:rFonts w:ascii="Times New Roman" w:hAnsi="Times New Roman"/>
          <w:sz w:val="24"/>
          <w:szCs w:val="24"/>
        </w:rPr>
        <w:t>Боготольский</w:t>
      </w:r>
      <w:proofErr w:type="spellEnd"/>
      <w:r w:rsidRPr="002D72B7">
        <w:rPr>
          <w:rFonts w:ascii="Times New Roman" w:hAnsi="Times New Roman"/>
          <w:sz w:val="24"/>
          <w:szCs w:val="24"/>
        </w:rPr>
        <w:t xml:space="preserve"> район продолжается реализация  </w:t>
      </w:r>
    </w:p>
    <w:p w14:paraId="6CC4A593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К 2027 году этот показатель планируется увеличить до 19,77%.</w:t>
      </w:r>
    </w:p>
    <w:p w14:paraId="4F10F622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72B7">
        <w:rPr>
          <w:rFonts w:ascii="Times New Roman" w:hAnsi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</w:t>
      </w:r>
      <w:r w:rsidRPr="002D72B7">
        <w:rPr>
          <w:rFonts w:ascii="Times New Roman" w:hAnsi="Times New Roman"/>
          <w:sz w:val="24"/>
          <w:szCs w:val="24"/>
        </w:rPr>
        <w:t>телей) всех предприятий и организаций: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629"/>
        <w:gridCol w:w="948"/>
        <w:gridCol w:w="939"/>
        <w:gridCol w:w="992"/>
        <w:gridCol w:w="992"/>
        <w:gridCol w:w="993"/>
      </w:tblGrid>
      <w:tr w:rsidR="00000000" w:rsidRPr="00887419" w14:paraId="3F32ABB8" w14:textId="77777777" w:rsidTr="0093741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F486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4946E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000000" w:rsidRPr="00887419" w14:paraId="09B5832A" w14:textId="77777777" w:rsidTr="0093741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27F7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0FF5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2023 факт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001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2024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9CF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2025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A06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2026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304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2027 прогноз</w:t>
            </w:r>
          </w:p>
        </w:tc>
      </w:tr>
      <w:tr w:rsidR="00000000" w:rsidRPr="00887419" w14:paraId="672ECDF7" w14:textId="77777777" w:rsidTr="0093741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94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1. Количество малых и микропредприятий, 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F47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3FA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069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689E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419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000000" w:rsidRPr="00887419" w14:paraId="2FDC60C0" w14:textId="77777777" w:rsidTr="0093741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589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2. Количество средних предприят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ий, 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8D3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7A8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371E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70D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60A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 w:rsidRPr="00887419" w14:paraId="4132D258" w14:textId="77777777" w:rsidTr="009374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722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3. Количество индивидуальных предпринимателей, 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0CA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2B0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9D4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3A2E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2F8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000000" w:rsidRPr="00887419" w14:paraId="5CA9E901" w14:textId="77777777" w:rsidTr="009374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48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3.1. в том числе количество крестьянско-фермерских хозяйств, 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BC9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505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B8A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6D6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22CB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 w:rsidRPr="00887419" w14:paraId="4F029729" w14:textId="77777777" w:rsidTr="0093741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AF9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4. Численность постоянного населения муниципального, городского округа (муниципального р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айона) </w:t>
            </w:r>
            <w:r w:rsidRPr="00887419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Pr="00887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419">
              <w:rPr>
                <w:rFonts w:ascii="Times New Roman" w:hAnsi="Times New Roman"/>
                <w:b/>
                <w:bCs/>
                <w:sz w:val="24"/>
                <w:szCs w:val="24"/>
              </w:rPr>
              <w:t>конец отчетного года</w:t>
            </w:r>
            <w:r w:rsidRPr="00887419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1B9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7 659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259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7 495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B81A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7 322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745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7 151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BA5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6 980</w:t>
            </w:r>
          </w:p>
        </w:tc>
      </w:tr>
      <w:tr w:rsidR="00000000" w:rsidRPr="00887419" w14:paraId="03EFF528" w14:textId="77777777" w:rsidTr="0093741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EDE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4C102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143,62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15921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91A2D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20037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30E5E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163,32</w:t>
            </w:r>
          </w:p>
        </w:tc>
      </w:tr>
      <w:tr w:rsidR="00000000" w:rsidRPr="00887419" w14:paraId="11FBC2A5" w14:textId="77777777" w:rsidTr="0093741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22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6. Среднесписочная численность работник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ов малых и микропредприятий, 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CB4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215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939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31D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FF0F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000000" w:rsidRPr="00887419" w14:paraId="012AE2B1" w14:textId="77777777" w:rsidTr="0093741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ED1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3BB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AE9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3F1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B26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A06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000000" w:rsidRPr="00887419" w14:paraId="58B5757A" w14:textId="77777777" w:rsidTr="0093741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2E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7.1. в том числе в крестьянско-фермерских хозяйствах, 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081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392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A52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A45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131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000000" w:rsidRPr="00887419" w14:paraId="0EAA3CF4" w14:textId="77777777" w:rsidTr="009374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E4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8. Среднесп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исочная численность работников средних предприятий, 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D55F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80A2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163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0533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213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 w:rsidRPr="00887419" w14:paraId="1F26217C" w14:textId="77777777" w:rsidTr="0093741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2B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D007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1 053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8EF5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1 046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AE7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2CB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1 036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B99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</w:rPr>
              <w:t>1 031</w:t>
            </w:r>
          </w:p>
        </w:tc>
      </w:tr>
      <w:tr w:rsidR="00000000" w:rsidRPr="00887419" w14:paraId="311C7509" w14:textId="77777777" w:rsidTr="00937416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46C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</w:t>
            </w: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.7+стр.8 / (стр.3+стр.6+стр.7+стр.9)*100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ABD52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1D193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5D9AA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03485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FC2B7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19,77</w:t>
            </w:r>
          </w:p>
        </w:tc>
      </w:tr>
    </w:tbl>
    <w:p w14:paraId="2BC296F7" w14:textId="77777777" w:rsidR="00000000" w:rsidRPr="002D72B7" w:rsidRDefault="00887419" w:rsidP="002D72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В прогнозном периоде 2025-2027 годы с целью создания благоприятных условий для устойчивого развития малого и среднего предпринимательства в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Боготольском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районе будет продолжено оказан</w:t>
      </w:r>
      <w:r w:rsidRPr="002D72B7">
        <w:rPr>
          <w:rFonts w:ascii="Times New Roman" w:hAnsi="Times New Roman"/>
          <w:sz w:val="24"/>
          <w:szCs w:val="24"/>
          <w:u w:color="FF0000"/>
        </w:rPr>
        <w:t>ие финансовой, имущественной и информационной поддержки.</w:t>
      </w:r>
    </w:p>
    <w:p w14:paraId="63263A26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В 2025-2026 гг. ООО «Зеленый мир» продолжит реализацию инвестиционного проекта за счет собственных средств предприятия в сфере производства товарного бетона. Данный проект способствует притоку инвест</w:t>
      </w:r>
      <w:r w:rsidRPr="002D72B7">
        <w:rPr>
          <w:rFonts w:ascii="Times New Roman" w:hAnsi="Times New Roman"/>
          <w:sz w:val="24"/>
          <w:szCs w:val="24"/>
          <w:u w:color="FF0000"/>
        </w:rPr>
        <w:t>иционных вложений на территорию района, развитию предприятия, сохранению и, при необходимости, увеличению рабочих мест, а также ведет к выходу предприятия на рынок близлежащих территорий по поставке промышленного бетона и изделий из него.</w:t>
      </w:r>
    </w:p>
    <w:p w14:paraId="60859852" w14:textId="69967A18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3. Объем инвес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тиций в основной капитал (за исключением бюджетных средств) в расчете на 1 человека</w:t>
      </w:r>
      <w:r w:rsid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.</w:t>
      </w:r>
    </w:p>
    <w:p w14:paraId="01ABD49F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Объем инвестиций в основной капитал за счет всех источников финансирования в 2024 году составил 89995 тыс. руб., что на 5,9% ниже 2023 года. Снижение связано с уменьшение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м инвестиций, приходящихся на отрасль «Транспорт и связь». </w:t>
      </w:r>
    </w:p>
    <w:p w14:paraId="38087AAE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Объем инвестиций за счет бюджетных средств снизился по сравнению с 2023 годом на 14,6 % и составил 23636 тыс. руб. (снижение по отрасли «Деятельность в области культуры, спорта, организации досуга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и развлечений»)                            </w:t>
      </w:r>
    </w:p>
    <w:p w14:paraId="38573FC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 xml:space="preserve">По прогнозу </w:t>
      </w:r>
      <w:r w:rsidRPr="002D72B7">
        <w:rPr>
          <w:rFonts w:ascii="Times New Roman" w:hAnsi="Times New Roman"/>
          <w:sz w:val="24"/>
          <w:szCs w:val="24"/>
          <w:u w:color="FF0000"/>
        </w:rPr>
        <w:t>объем инвестиций за счет всех источников финансирования составит в 2025, 2026 и 2027 годы 97194 тыс. руб. ,102443,1 тыс. руб., 107053 тыс. руб. соответственно.</w:t>
      </w:r>
    </w:p>
    <w:p w14:paraId="0636F317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Объем инвестиций в основной капитал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(за исключением бюджетных средств) в расчете на 1 человека населения в 2024 году составил 8757,95 руб. Ожидаемое значение в 2025, 2026, 2027 годы составит 9673,1 руб., 10437,76 руб. и 11171,38 руб. соответственно.</w:t>
      </w:r>
    </w:p>
    <w:p w14:paraId="05187082" w14:textId="4CD6DB1C" w:rsidR="00000000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В 2024 году инвестиционные проекты, реал</w:t>
      </w:r>
      <w:r w:rsidRPr="002D72B7">
        <w:rPr>
          <w:rFonts w:ascii="Times New Roman" w:hAnsi="Times New Roman"/>
          <w:sz w:val="24"/>
          <w:szCs w:val="24"/>
          <w:u w:color="FF0000"/>
        </w:rPr>
        <w:t>изуемые на территории района, отсутствовали.</w:t>
      </w:r>
    </w:p>
    <w:p w14:paraId="15A0D2B7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547"/>
        <w:gridCol w:w="1276"/>
        <w:gridCol w:w="1275"/>
        <w:gridCol w:w="1276"/>
        <w:gridCol w:w="1418"/>
        <w:gridCol w:w="1417"/>
      </w:tblGrid>
      <w:tr w:rsidR="00000000" w:rsidRPr="00887419" w14:paraId="5EF814AC" w14:textId="77777777" w:rsidTr="0093741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85C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DB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0000" w:rsidRPr="00887419" w14:paraId="630D8C6B" w14:textId="77777777" w:rsidTr="0093741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09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809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EF4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5AA3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E7C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C6E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000000" w:rsidRPr="00887419" w14:paraId="5B08F0A4" w14:textId="77777777" w:rsidTr="00937416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D26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lastRenderedPageBreak/>
              <w:t>1. Объем инвестиций в основной капитал за счет всех источников финансирования (без с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убъектов малого предпринимательства),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1BC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84 982,00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7710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89 995,00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8A7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97 194,00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D5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102 443,10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E7E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107 053,00</w:t>
            </w:r>
          </w:p>
        </w:tc>
      </w:tr>
      <w:tr w:rsidR="00000000" w:rsidRPr="00887419" w14:paraId="1F0C459D" w14:textId="77777777" w:rsidTr="0093741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A31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 xml:space="preserve">1.1. </w:t>
            </w: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59B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77,58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68949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18C19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80C3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105,40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89303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104,50</w:t>
            </w:r>
          </w:p>
        </w:tc>
      </w:tr>
      <w:tr w:rsidR="00000000" w:rsidRPr="00887419" w14:paraId="31E61DDB" w14:textId="77777777" w:rsidTr="0093741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D6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1.2. Индекс-дефлятор,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F7C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112,40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844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sz w:val="24"/>
                <w:szCs w:val="24"/>
                <w:u w:color="FF0000"/>
              </w:rPr>
              <w:t>109,50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A8C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sz w:val="24"/>
                <w:szCs w:val="24"/>
                <w:u w:color="FF0000"/>
              </w:rPr>
              <w:t>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EC7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sz w:val="24"/>
                <w:szCs w:val="24"/>
                <w:u w:color="FF0000"/>
              </w:rPr>
              <w:t>105,40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32F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sz w:val="24"/>
                <w:szCs w:val="24"/>
                <w:u w:color="FF0000"/>
              </w:rPr>
              <w:t>104,50</w:t>
            </w:r>
          </w:p>
        </w:tc>
      </w:tr>
      <w:tr w:rsidR="00000000" w:rsidRPr="00887419" w14:paraId="4A133732" w14:textId="77777777" w:rsidTr="00937416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1D6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866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69,02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0A028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0FC37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CB996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C9F6F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>100,00</w:t>
            </w:r>
          </w:p>
        </w:tc>
      </w:tr>
      <w:tr w:rsidR="00000000" w:rsidRPr="00887419" w14:paraId="7132D298" w14:textId="77777777" w:rsidTr="0093741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431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0BA7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27 679,00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C4D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23 636,00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37A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25 526,00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1F4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26 905,00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20C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28 116,00</w:t>
            </w:r>
          </w:p>
        </w:tc>
      </w:tr>
      <w:tr w:rsidR="00000000" w:rsidRPr="00887419" w14:paraId="655248FF" w14:textId="77777777" w:rsidTr="0093741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7C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8B82E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57 303,00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2A1F6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66 359,00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0293F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71 668,00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F27E3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75 538,10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E19D0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78 937,00</w:t>
            </w:r>
          </w:p>
        </w:tc>
      </w:tr>
      <w:tr w:rsidR="00000000" w:rsidRPr="00887419" w14:paraId="02C3EE7B" w14:textId="77777777" w:rsidTr="00937416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399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4. </w:t>
            </w: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 xml:space="preserve">Среднегодовая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900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2B0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590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1ED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EC18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7 066</w:t>
            </w:r>
          </w:p>
        </w:tc>
      </w:tr>
      <w:tr w:rsidR="00000000" w:rsidRPr="00887419" w14:paraId="675F386B" w14:textId="77777777" w:rsidTr="0093741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974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D7B01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7 397,75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8C6A6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8 757,95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D9F24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9 673,10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2FEB2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10 437,76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5DFA7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11 171,38</w:t>
            </w:r>
          </w:p>
        </w:tc>
      </w:tr>
    </w:tbl>
    <w:p w14:paraId="41148C67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4. Доля площади земельных участков, являющих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14:paraId="5CE846B8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В 2024 году было предоставлено 32,2 га земельных участков на территории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района, из них продано 31,5 га физи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ческим лицам, предоставлено бесплатно физическим лицам 0,5 га, предоставлено многодетным семьям 0,2 га. Таким образом, доля </w:t>
      </w:r>
      <w:r w:rsidRPr="002D72B7">
        <w:rPr>
          <w:rFonts w:ascii="Times New Roman" w:hAnsi="Times New Roman"/>
          <w:sz w:val="24"/>
          <w:szCs w:val="24"/>
          <w:u w:color="FF0000"/>
        </w:rPr>
        <w:lastRenderedPageBreak/>
        <w:t xml:space="preserve">площади земельных участков, являющихся объектами налогообложения, в 2024 году составила 28,81 % в общей площади территории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</w:t>
      </w:r>
      <w:r w:rsidRPr="002D72B7">
        <w:rPr>
          <w:rFonts w:ascii="Times New Roman" w:hAnsi="Times New Roman"/>
          <w:sz w:val="24"/>
          <w:szCs w:val="24"/>
          <w:u w:color="FF0000"/>
        </w:rPr>
        <w:t>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района.</w:t>
      </w:r>
    </w:p>
    <w:p w14:paraId="55EDF2CF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 </w:t>
      </w:r>
      <w:r w:rsidRPr="002D72B7">
        <w:rPr>
          <w:rFonts w:ascii="Times New Roman" w:hAnsi="Times New Roman"/>
          <w:sz w:val="24"/>
          <w:szCs w:val="24"/>
          <w:u w:color="FF0000"/>
        </w:rPr>
        <w:tab/>
        <w:t>К 2027 году значительного увеличение данного показателя не прогнозируется, доля площади земельных участков, являющихся объектами налогообложения, составит 28,84 %.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871"/>
        <w:gridCol w:w="426"/>
        <w:gridCol w:w="1105"/>
        <w:gridCol w:w="1276"/>
        <w:gridCol w:w="1134"/>
        <w:gridCol w:w="1275"/>
        <w:gridCol w:w="1134"/>
      </w:tblGrid>
      <w:tr w:rsidR="00000000" w:rsidRPr="00887419" w14:paraId="5DF70C93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39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A41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A4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56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14F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4F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D09E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14F9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2027</w:t>
            </w:r>
          </w:p>
        </w:tc>
      </w:tr>
      <w:tr w:rsidR="00000000" w:rsidRPr="00887419" w14:paraId="47984A7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507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3F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67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1E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62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A5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Прогноз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04B0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Прогноз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9EEB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Прогноз</w:t>
            </w:r>
          </w:p>
        </w:tc>
      </w:tr>
      <w:tr w:rsidR="00000000" w:rsidRPr="00887419" w14:paraId="09CA2A92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22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DD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Площадь земель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9D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6A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292 158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6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292 158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14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292 158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8514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292 158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23A7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292 158</w:t>
            </w:r>
          </w:p>
        </w:tc>
      </w:tr>
      <w:tr w:rsidR="00000000" w:rsidRPr="00887419" w14:paraId="146EE7D9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B1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40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ind w:firstLine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Площадь земельных участков, являющаяся объектом налогообложения земельным налогом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E7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3F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84139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6F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84171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C7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84203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8A59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84235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6441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84267</w:t>
            </w:r>
          </w:p>
        </w:tc>
      </w:tr>
      <w:tr w:rsidR="00000000" w:rsidRPr="00887419" w14:paraId="1C70C97E" w14:textId="77777777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19D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1.1.2.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A2FA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Доля площади земельных участков, являющихся объектами налогооб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AA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AA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A9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4D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28,82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067B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72EF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28,84</w:t>
            </w:r>
          </w:p>
        </w:tc>
      </w:tr>
    </w:tbl>
    <w:p w14:paraId="223094B7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5. Доля прибыльных сельскохозяйственных организаций в общем их числе</w:t>
      </w:r>
    </w:p>
    <w:p w14:paraId="100EB0F0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На территории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осуществляют деятел</w:t>
      </w:r>
      <w:r w:rsidRPr="002D72B7">
        <w:rPr>
          <w:rFonts w:ascii="Times New Roman" w:hAnsi="Times New Roman"/>
          <w:sz w:val="24"/>
          <w:szCs w:val="24"/>
          <w:u w:color="FF0000"/>
        </w:rPr>
        <w:t>ьность 3 сельскохозяйственных предприятиях (ООО "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Боготольская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птицефабрика", ООО «Эльбрус» и ООО "Зеленый мир"), зарегистрированные в реестре субъектов агропромышленного комплекса.</w:t>
      </w:r>
    </w:p>
    <w:p w14:paraId="1EA690C6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 По итогам 2024 года прибыль ООО "Зеленый мир" составила 12 817 тыс. руб. (</w:t>
      </w:r>
      <w:r w:rsidRPr="002D72B7">
        <w:rPr>
          <w:rFonts w:ascii="Times New Roman" w:hAnsi="Times New Roman"/>
          <w:sz w:val="24"/>
          <w:szCs w:val="24"/>
          <w:u w:color="FF0000"/>
        </w:rPr>
        <w:t>на 880 тыс. рублей меньше 2023 года), прибыль ООО "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Боготольская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птицефабрика" составил 20 161 тыс. руб. (на 3 268 тыс. рублей больше 2023 года), прибыль ООО «Эльбрус» составила 3 875 тыс. руб. ( на 874 тыс. рублей больше 2023 года).</w:t>
      </w:r>
    </w:p>
    <w:p w14:paraId="770CCE7F" w14:textId="2946AA1E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ООО «Агрохолдинг Богот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ол» </w:t>
      </w:r>
      <w:r w:rsidRPr="002D72B7">
        <w:rPr>
          <w:rFonts w:ascii="Times New Roman" w:hAnsi="Times New Roman"/>
          <w:sz w:val="24"/>
          <w:szCs w:val="24"/>
          <w:u w:color="FF0000"/>
        </w:rPr>
        <w:t>в 2024 году вышел из реестра АПК Красноярского края по причине неведения сельскохозяйственной деятельности.</w:t>
      </w:r>
    </w:p>
    <w:p w14:paraId="415AE4C8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В 2024 году доля прибыльных сельскохозяйственных организаций в районе составила 100 %.</w:t>
      </w:r>
    </w:p>
    <w:p w14:paraId="5707B63B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В прогнозных периодах 2025-2027гг. все сельскохозяйств</w:t>
      </w:r>
      <w:r w:rsidRPr="002D72B7">
        <w:rPr>
          <w:rFonts w:ascii="Times New Roman" w:hAnsi="Times New Roman"/>
          <w:sz w:val="24"/>
          <w:szCs w:val="24"/>
          <w:u w:color="FF0000"/>
        </w:rPr>
        <w:t>енные организации района планируют получить прибыль по результатам своей деятельности.</w:t>
      </w:r>
    </w:p>
    <w:p w14:paraId="66AD7EA9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о пользования местного значения</w:t>
      </w:r>
    </w:p>
    <w:p w14:paraId="5AF0FEAC" w14:textId="77777777" w:rsidR="00000000" w:rsidRPr="002D72B7" w:rsidRDefault="00887419" w:rsidP="002D72B7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lastRenderedPageBreak/>
        <w:t>В 2024 году протяженность автомобильных дорог общего пользования местного значения не изменилась и составила 147,2 км.</w:t>
      </w:r>
    </w:p>
    <w:p w14:paraId="6A66EEDD" w14:textId="77777777" w:rsidR="00000000" w:rsidRPr="002D72B7" w:rsidRDefault="00887419" w:rsidP="002D72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За счет средств субсидии из краевого бюджета в рамках подпрограммы "Дороги Красноярья" государственной п</w:t>
      </w:r>
      <w:r w:rsidRPr="002D72B7">
        <w:rPr>
          <w:rFonts w:ascii="Times New Roman" w:hAnsi="Times New Roman"/>
          <w:sz w:val="24"/>
          <w:szCs w:val="24"/>
          <w:u w:color="FF0000"/>
        </w:rPr>
        <w:t>рограммы Красноярского края «Развитие транспортной системы» в 2024 году отремонтировано 7,41 км. дорог.</w:t>
      </w:r>
    </w:p>
    <w:p w14:paraId="09E68116" w14:textId="77777777" w:rsidR="00000000" w:rsidRPr="002D72B7" w:rsidRDefault="00887419" w:rsidP="002D72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Таким образом доля протяженности автомобильных дорог общего пользования местного значения, не отвечающего требованиям, на конец 2024 года снизилась по с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равнению с 2023 годом на 5,1% и составила 50,54%, или 74,4 км. </w:t>
      </w:r>
    </w:p>
    <w:p w14:paraId="6AF2D293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В прогнозируемом периоде до 2027 года планируется проведение ремонтов дорог в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асфальтно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>- бетонном и щебеночном исполнении не менее 1,5 км ежегодно, что приведет к снижению д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оли протяженности а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втомобильных дорог общего пользования местного значения, не отвечающих нормативным требованиям, до 47,55%</w:t>
      </w:r>
    </w:p>
    <w:p w14:paraId="4CBDAEEC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14:paraId="3F418D0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Доля населения, проживающего в населенных пунктах, не имеющих регулярного автобусного и (или) железнодор</w:t>
      </w:r>
      <w:r w:rsidRPr="002D72B7">
        <w:rPr>
          <w:rFonts w:ascii="Times New Roman" w:hAnsi="Times New Roman"/>
          <w:sz w:val="24"/>
          <w:szCs w:val="24"/>
          <w:u w:color="FF0000"/>
        </w:rPr>
        <w:t>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составляет 0%.</w:t>
      </w:r>
    </w:p>
    <w:p w14:paraId="69DEFA21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8. Среднемесячная номинальная начисленная заработная плата работников:</w:t>
      </w:r>
    </w:p>
    <w:p w14:paraId="4228B26B" w14:textId="16F917D1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8.1. крупных и средних предприятий и некоммерческих организаций</w:t>
      </w:r>
    </w:p>
    <w:p w14:paraId="0A61CA5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Среднемесячная номинальная заработная плата крупных и средних предприятий и некоммерческих организаций выросла по сравнению с 2023 годом на 15,7 % и составила в 2024 году 62428,3 руб. </w:t>
      </w:r>
    </w:p>
    <w:p w14:paraId="649C97C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white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Рост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среднемесячной начисленной номинальной заработной платы работников крупных и средних предприятий и некоммерческих организаций обусловлен</w:t>
      </w:r>
      <w:r w:rsidRPr="002D72B7">
        <w:rPr>
          <w:rFonts w:ascii="Times New Roman" w:hAnsi="Times New Roman"/>
          <w:sz w:val="24"/>
          <w:szCs w:val="24"/>
          <w:highlight w:val="white"/>
          <w:u w:color="FF0000"/>
        </w:rPr>
        <w:t xml:space="preserve"> повышением минимального размера оплаты труда;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повышением заработной платы работников бюджетной сферы в соответствии с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Указами Президента Российской Федерации. </w:t>
      </w:r>
    </w:p>
    <w:p w14:paraId="667809F4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highlight w:val="white"/>
          <w:u w:color="FF0000"/>
        </w:rPr>
        <w:tab/>
        <w:t xml:space="preserve">На территории района наиболее высокий размер заработной платы у работников в сфере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деятельности «Транспортировка и хранение»- Транспортирование по трубопроводам нефти (НПС «Каштан») 118287,5 руб., что существенно </w:t>
      </w:r>
      <w:r w:rsidRPr="002D72B7">
        <w:rPr>
          <w:rFonts w:ascii="Times New Roman" w:hAnsi="Times New Roman"/>
          <w:sz w:val="24"/>
          <w:szCs w:val="24"/>
          <w:u w:color="FF0000"/>
        </w:rPr>
        <w:t>влияет на размер средней заработной платы по району.</w:t>
      </w:r>
    </w:p>
    <w:p w14:paraId="2622D339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 xml:space="preserve">В 2025 году ожидаемый размер среднемесячной начисленной номинальной заработной платы работников крупных и средних предприятий и некоммерческих организаций составит 71792,55 руб. (рост 15 %) в связи с </w:t>
      </w:r>
      <w:r w:rsidRPr="002D72B7">
        <w:rPr>
          <w:rFonts w:ascii="Times New Roman" w:hAnsi="Times New Roman"/>
          <w:sz w:val="24"/>
          <w:szCs w:val="24"/>
          <w:highlight w:val="white"/>
          <w:u w:color="FF0000"/>
        </w:rPr>
        <w:t>по</w:t>
      </w:r>
      <w:r w:rsidRPr="002D72B7">
        <w:rPr>
          <w:rFonts w:ascii="Times New Roman" w:hAnsi="Times New Roman"/>
          <w:sz w:val="24"/>
          <w:szCs w:val="24"/>
          <w:highlight w:val="white"/>
          <w:u w:color="FF0000"/>
        </w:rPr>
        <w:t>вышением минимального размера оплаты труда</w:t>
      </w:r>
      <w:r w:rsidRPr="002D72B7">
        <w:rPr>
          <w:rFonts w:ascii="Times New Roman" w:hAnsi="Times New Roman"/>
          <w:sz w:val="24"/>
          <w:szCs w:val="24"/>
          <w:u w:color="FF0000"/>
        </w:rPr>
        <w:t>, а также в связи с повышением заработной платы работников бюджетной сферы в соответствии с Указами Президента Российской Федерации.</w:t>
      </w:r>
    </w:p>
    <w:p w14:paraId="210DF5AB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В 2026-2027 годы размер заработной платы крупных и средних предприятий и некомме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рческих организаций составит соответственно 79617,93 руб. и 86624,31 руб. </w:t>
      </w:r>
    </w:p>
    <w:p w14:paraId="45D15A20" w14:textId="6D137B60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 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8.2. муниципальных дошкольных образовательных учреждений</w:t>
      </w:r>
    </w:p>
    <w:p w14:paraId="185B24F0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Среднемесячная номинальная заработная плата работников муниципальных дошкольных учреждений в 2024 году составила 41510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,9 руб., что на 21,6% выше 2023 года.</w:t>
      </w:r>
    </w:p>
    <w:p w14:paraId="7BA4BBD0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К 2027 году этот показатель увеличится до 71023,13 руб.</w:t>
      </w:r>
    </w:p>
    <w:p w14:paraId="1623DD4B" w14:textId="1F70F289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8.3. муниципальных общеобразовательных учреждений</w:t>
      </w:r>
    </w:p>
    <w:p w14:paraId="4189CBD5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left="140" w:firstLine="58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Среднемесячная номинальная заработная плата в муниципальных общеобразовательных учреждениях в 2024 году увел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 xml:space="preserve">ичилась на 14% и составила 58001,6 руб. </w:t>
      </w:r>
    </w:p>
    <w:p w14:paraId="5E5D9141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left="140" w:firstLine="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lastRenderedPageBreak/>
        <w:tab/>
        <w:t>Среднемесячная зарплата учителей на 21,3% больше 2023 года и составила 74759,3 руб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. </w:t>
      </w:r>
    </w:p>
    <w:p w14:paraId="469A5383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По прогнозу к 2027 году 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 xml:space="preserve">среднемесячная номинальная заработная плата в муниципальных общеобразовательных учреждениях </w:t>
      </w:r>
      <w:r w:rsidRPr="002D72B7">
        <w:rPr>
          <w:rFonts w:ascii="Times New Roman" w:hAnsi="Times New Roman"/>
          <w:sz w:val="24"/>
          <w:szCs w:val="24"/>
          <w:u w:color="FF0000"/>
        </w:rPr>
        <w:t>составит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76316,24 руб., учителей 96403,2 руб.</w:t>
      </w:r>
    </w:p>
    <w:p w14:paraId="2F322AA0" w14:textId="4B153188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8.4. муниципальных учреждений культуры и искусства</w:t>
      </w:r>
    </w:p>
    <w:p w14:paraId="57950C97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В 2024 году среднемесячная номинальная заработная плата муниципальных учреждений культуры и искусства увеличилась на 22,6% и составила 58015,2 руб.</w:t>
      </w:r>
    </w:p>
    <w:p w14:paraId="0C10D6A0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ab/>
        <w:t>К 2027 году ра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змер заработной платы по данной отрасли составит 75902,95 руб.</w:t>
      </w:r>
    </w:p>
    <w:p w14:paraId="78161EBD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8.5. муниципальных учреждений физической культуры и спорта</w:t>
      </w:r>
    </w:p>
    <w:p w14:paraId="19145CB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Среднемесячная номинальная заработная плата работников муниципальных учреждений физической культуры и спорта увеличилась по сравнени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ю с 2023 годом на 48 % и составила в 2024 году 41013,20 руб. Увеличение по сравнению с плановым показателем на 2024 год произошло в связи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с повышением с 01.04.2024 года размера среднемесячной заработной платы отдельным категориям на 20% (в МБУ ДО «Спортивн</w:t>
      </w:r>
      <w:r w:rsidRPr="002D72B7">
        <w:rPr>
          <w:rFonts w:ascii="Times New Roman" w:hAnsi="Times New Roman"/>
          <w:sz w:val="24"/>
          <w:szCs w:val="24"/>
          <w:u w:color="FF0000"/>
        </w:rPr>
        <w:t>ая школа «Олимпиец» в направлении подготовки к сдаче нормативов ГТО).</w:t>
      </w:r>
    </w:p>
    <w:p w14:paraId="3D360CC2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ab/>
        <w:t>К 2027 году этот показатель составит 46133,20 руб.</w:t>
      </w:r>
    </w:p>
    <w:p w14:paraId="1CCF5B4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</w:p>
    <w:p w14:paraId="59EDEBF1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II. Дошкольное образование</w:t>
      </w:r>
    </w:p>
    <w:p w14:paraId="17815006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p w14:paraId="56E7B6FE" w14:textId="77777777" w:rsidR="00000000" w:rsidRPr="002D72B7" w:rsidRDefault="00887419" w:rsidP="002D72B7">
      <w:pPr>
        <w:autoSpaceDE w:val="0"/>
        <w:autoSpaceDN w:val="0"/>
        <w:adjustRightInd w:val="0"/>
        <w:spacing w:after="120" w:line="240" w:lineRule="auto"/>
        <w:ind w:left="60" w:firstLine="6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i/>
          <w:iCs/>
          <w:sz w:val="24"/>
          <w:szCs w:val="24"/>
          <w:u w:color="FF0000"/>
        </w:rPr>
        <w:t>В области дошкольного образования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функционируют 3 дошкольных образовательных организации (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с.Боготол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,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с.</w:t>
      </w:r>
      <w:r w:rsidRPr="002D72B7">
        <w:rPr>
          <w:rFonts w:ascii="Times New Roman" w:hAnsi="Times New Roman"/>
          <w:sz w:val="24"/>
          <w:szCs w:val="24"/>
          <w:u w:color="FF0000"/>
        </w:rPr>
        <w:t>Критово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,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с.Большая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Косуль) и 6 дошкольных групп (по 1 группе  при МКОУ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Краснозаводская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СОШ, МКОУ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Вагинская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СОШ, МКОУ Владимировская СОШ, МКОУ Чайковская СОШ и 2 группы при МБОУ Юрьевская.</w:t>
      </w:r>
    </w:p>
    <w:p w14:paraId="12640CB0" w14:textId="77777777" w:rsidR="00000000" w:rsidRPr="002D72B7" w:rsidRDefault="00887419" w:rsidP="002D72B7">
      <w:pPr>
        <w:autoSpaceDE w:val="0"/>
        <w:autoSpaceDN w:val="0"/>
        <w:adjustRightInd w:val="0"/>
        <w:spacing w:after="120" w:line="240" w:lineRule="auto"/>
        <w:ind w:left="60" w:firstLine="6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В 2024 году детские сады и дошкольные группы при СОШ посещали 181 в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оспитанник, из них 126 детей в возрасте 3-7 лет (69% от общего числа детей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в возрасте от 3 года до 7 лет). </w:t>
      </w:r>
    </w:p>
    <w:p w14:paraId="05C68FF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9. Доля детей в возрасте 1-6 лет, получающих дошкольную общеобразовательную услугу и (или) услугу по их содержанию в муниципал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ьных общеобразовательных учреждениях в общей численности детей в возрасте 1-6 лет,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14:paraId="41B5EAE2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Доля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детей в возрасте 1-6 лет, получающих в 2024 году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составила 36,15%. </w:t>
      </w:r>
    </w:p>
    <w:p w14:paraId="7B00B524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К 2027 году этот показатель оста</w:t>
      </w:r>
      <w:r w:rsidRPr="002D72B7">
        <w:rPr>
          <w:rFonts w:ascii="Times New Roman" w:hAnsi="Times New Roman"/>
          <w:sz w:val="24"/>
          <w:szCs w:val="24"/>
          <w:u w:color="FF0000"/>
        </w:rPr>
        <w:t>нется на прежнем уровне.</w:t>
      </w:r>
    </w:p>
    <w:p w14:paraId="65322C7F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Доля детей в возрасте 1-6 лет, желающих поступить в муниципальные дошкольные образовательные учреждения (актуальная очередь 0 человек) за 2024 год составила 0 %. </w:t>
      </w:r>
    </w:p>
    <w:p w14:paraId="50E1FF3E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На прогнозный период 2025-2027 гг. ожидается отсутствие актуальной о</w:t>
      </w:r>
      <w:r w:rsidRPr="002D72B7">
        <w:rPr>
          <w:rFonts w:ascii="Times New Roman" w:hAnsi="Times New Roman"/>
          <w:sz w:val="24"/>
          <w:szCs w:val="24"/>
          <w:u w:color="FF0000"/>
        </w:rPr>
        <w:t>череди детей от 1 до 6 лет, желающих поступить в муниципальные дошкольные образовательные учреждения.</w:t>
      </w:r>
    </w:p>
    <w:p w14:paraId="456AFB83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исле муниципальных дошкольных общеобразовательных учреждений</w:t>
      </w:r>
    </w:p>
    <w:p w14:paraId="08C217EA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Муниципальные дошкольные образовательные учреждения, здания которых находятся в аварийном состоянии или требуют капитального ремонта, на территории района отсутствуют.</w:t>
      </w:r>
    </w:p>
    <w:p w14:paraId="100B2469" w14:textId="77777777" w:rsidR="00937416" w:rsidRDefault="00937416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</w:p>
    <w:p w14:paraId="5CFE08A5" w14:textId="77777777" w:rsidR="00937416" w:rsidRDefault="00937416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</w:p>
    <w:p w14:paraId="126ADCE4" w14:textId="16808F16" w:rsidR="00000000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lastRenderedPageBreak/>
        <w:t>III. Общее и дополнитель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ное образование</w:t>
      </w:r>
    </w:p>
    <w:p w14:paraId="763158B3" w14:textId="77777777" w:rsidR="002D72B7" w:rsidRPr="002D72B7" w:rsidRDefault="002D72B7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color="FF0000"/>
        </w:rPr>
      </w:pPr>
    </w:p>
    <w:p w14:paraId="6E7A031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i/>
          <w:iCs/>
          <w:sz w:val="24"/>
          <w:szCs w:val="24"/>
          <w:u w:color="FF0000"/>
        </w:rPr>
        <w:t xml:space="preserve">В области общего образования </w:t>
      </w:r>
      <w:r w:rsidRPr="002D72B7">
        <w:rPr>
          <w:rFonts w:ascii="Times New Roman" w:hAnsi="Times New Roman"/>
          <w:sz w:val="24"/>
          <w:szCs w:val="24"/>
          <w:u w:color="FF0000"/>
        </w:rPr>
        <w:t>функционирует 10 общеобразовательных учреждением с количеством учащихся на 20.09.2024 года 953 человека (снижение с аналогичным периодом прошлого года составило 30 учеников). Основные причины снижения численно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сти обучающихся связаны с выбытием семей обучающихся (смена места жительства) и продолжение обучения по окончании 9 класса в учреждениях профессионального образования. </w:t>
      </w:r>
    </w:p>
    <w:p w14:paraId="7CE6508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13. Доля выпускников муниципальных общеобразовательных учреждений, не получивших аттес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тат о среднем (полном) образовании, в общей численности выпускников муниципальных общеобразовательных учреждений</w:t>
      </w:r>
    </w:p>
    <w:p w14:paraId="40005BB6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В 2024 году в государственной итоговой аттестации приняли участие 41 обучающийся, аттестаты о среднем общем образовании не получили 3 выпускни</w:t>
      </w:r>
      <w:r w:rsidRPr="002D72B7">
        <w:rPr>
          <w:rFonts w:ascii="Times New Roman" w:hAnsi="Times New Roman"/>
          <w:sz w:val="24"/>
          <w:szCs w:val="24"/>
          <w:u w:color="FF0000"/>
        </w:rPr>
        <w:t>ка 11 класса, т.к. не сдали единый государственный экзамен.</w:t>
      </w:r>
    </w:p>
    <w:p w14:paraId="6324B878" w14:textId="42E63B94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</w:t>
      </w:r>
      <w:r w:rsid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о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бразовательных учреждений</w:t>
      </w:r>
    </w:p>
    <w:p w14:paraId="456A43AF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Доля муниципальных общео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бразовательных учреждений, соответствующих современным требованиям обучения, в общем количестве муниципальных общеобразовательных учреждений в 2024 году составила 87,3%. </w:t>
      </w:r>
    </w:p>
    <w:p w14:paraId="271B21E3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15. Доля муниципальных общеобразовательных учреждений, здания которых находятся в а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варийном состоянии или требуют капитального ремонта, в общем количестве муниципальных общеобразовательных учреждений</w:t>
      </w:r>
    </w:p>
    <w:p w14:paraId="4A8C3335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На конец 2024 года отсутствуют общеобразовательные учреждения, нуждающиеся в капитальном ремонте или находящиеся в аварийном состоянии.</w:t>
      </w:r>
    </w:p>
    <w:p w14:paraId="0B746E2F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16. Доля детей первой и второй групп здоровья в общей численности обучающихся в муни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ц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ипальных общеобразовательных учреждениях</w:t>
      </w:r>
    </w:p>
    <w:p w14:paraId="64DA7A20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Доля детей первой и второй групп здоровья в общей численности обучающихся в муниципальных общеобразовательных учреждениях состави</w:t>
      </w:r>
      <w:r w:rsidRPr="002D72B7">
        <w:rPr>
          <w:rFonts w:ascii="Times New Roman" w:hAnsi="Times New Roman"/>
          <w:sz w:val="24"/>
          <w:szCs w:val="24"/>
          <w:u w:color="FF0000"/>
        </w:rPr>
        <w:t>ла в 2024 году составила 69,56%.</w:t>
      </w:r>
    </w:p>
    <w:p w14:paraId="2C8C1151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 xml:space="preserve">Во всех школах налажено горячее питание обучающихся, все обучающиеся 1-4-х классов питаются бесплатно. Регулярно проводятся профилактические мероприятия оздоровительной направленности. </w:t>
      </w:r>
    </w:p>
    <w:p w14:paraId="1481154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По прогнозу к 2027 году этот показ</w:t>
      </w:r>
      <w:r w:rsidRPr="002D72B7">
        <w:rPr>
          <w:rFonts w:ascii="Times New Roman" w:hAnsi="Times New Roman"/>
          <w:sz w:val="24"/>
          <w:szCs w:val="24"/>
          <w:u w:color="FF0000"/>
        </w:rPr>
        <w:t>атель ожидается на уровне 70,02%.</w:t>
      </w:r>
    </w:p>
    <w:p w14:paraId="104C7628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14:paraId="0258D829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Доля обучающихся в муниципальн</w:t>
      </w:r>
      <w:r w:rsidRPr="002D72B7">
        <w:rPr>
          <w:rFonts w:ascii="Times New Roman" w:hAnsi="Times New Roman"/>
          <w:sz w:val="24"/>
          <w:szCs w:val="24"/>
          <w:u w:color="FF0000"/>
        </w:rPr>
        <w:t>ых общеобразовательных учреждениях, занимающихся во вторую смену, в общей численности обучающихся в муниципальных общеобразовательных учреждениях увеличилась с 8,57% – в 2023 году до 10,17 – в 2024 году.</w:t>
      </w:r>
    </w:p>
    <w:p w14:paraId="25693DA4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В районе во вторую смену занимаются обучающиеся МБОУ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Боготольской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СОШ и МКОУ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Краснозаводской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СОШ. В связи с небольшой проектной мощностью нет возможности организовать обучение в этих школах только в первую смену.</w:t>
      </w:r>
    </w:p>
    <w:p w14:paraId="553F2B0F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18. Расходы бюджета муниципального образования на общее образование в расчете на 1 обучающего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ся в муниципальных общеобразовательных учреждениях</w:t>
      </w:r>
    </w:p>
    <w:p w14:paraId="5719F898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 в 2023 году составили 87,78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тыс.руб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>., в 2024 году увеличились до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100,93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тыс.руб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. В прогнозном периоде значение показателя ожидается на уровне 2024 года, в связи с ежегодным снижением обучающихся.  </w:t>
      </w:r>
    </w:p>
    <w:p w14:paraId="008DE807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19. Доля детей в возрасте 5-18 лет, получающих услуги по дополнительному 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lastRenderedPageBreak/>
        <w:t>образованию в организациях различной организаци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онно-правовой формы и формы собственности, в общей численности детей данной возрастной группы</w:t>
      </w:r>
    </w:p>
    <w:p w14:paraId="436AEE92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Дополнительным образованием охвачены обучающиеся всех 10 школ района и воспитанники МБДОУ «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Большекосульский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детский сад».</w:t>
      </w:r>
    </w:p>
    <w:p w14:paraId="784F2915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 На базе МБОУ «Юрьевская СОШ» осуществ</w:t>
      </w:r>
      <w:r w:rsidRPr="002D72B7">
        <w:rPr>
          <w:rFonts w:ascii="Times New Roman" w:hAnsi="Times New Roman"/>
          <w:sz w:val="24"/>
          <w:szCs w:val="24"/>
          <w:u w:color="FF0000"/>
        </w:rPr>
        <w:t>ляет деятельность муниципальный опорный центр дополнительного образования.</w:t>
      </w:r>
    </w:p>
    <w:p w14:paraId="0FE806DD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Доля детей в возрасте 5-18 лет, получающих услуги по дополнительному образованию, в общей численности детей данной возрастной группы в 2024 г. составила 62,83% (940 детей).</w:t>
      </w:r>
    </w:p>
    <w:p w14:paraId="535C060E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К 2027 г</w:t>
      </w:r>
      <w:r w:rsidRPr="002D72B7">
        <w:rPr>
          <w:rFonts w:ascii="Times New Roman" w:hAnsi="Times New Roman"/>
          <w:sz w:val="24"/>
          <w:szCs w:val="24"/>
          <w:u w:color="FF0000"/>
        </w:rPr>
        <w:t>оду планируется охватить дополнительным образованием до 78% детей данной возрастной группы.</w:t>
      </w:r>
    </w:p>
    <w:p w14:paraId="5D8CE371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IV. Культура</w:t>
      </w:r>
    </w:p>
    <w:p w14:paraId="00FE3CE6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p w14:paraId="3472E4AD" w14:textId="77777777" w:rsidR="00000000" w:rsidRPr="002D72B7" w:rsidRDefault="00887419" w:rsidP="002D72B7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  <w:u w:val="single"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Учреждениями в области культуры на территории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являются МБУК ЦБС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района, МБУК ЦКС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и МБУ ДО ДМ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Ш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района.</w:t>
      </w:r>
    </w:p>
    <w:p w14:paraId="36BB7F44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МБУК ЦБС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состоит из Центральной библиотеки, 16-и ее филиалов, и детской библиотеки. </w:t>
      </w:r>
    </w:p>
    <w:p w14:paraId="520E1E71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МБУК ЦКС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состоит из 22 структурных подразделений – 8 сельских домов культуры и 14 сельских клубов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                        </w:t>
      </w:r>
    </w:p>
    <w:p w14:paraId="57DAD43A" w14:textId="066F7CD3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20. Уровень фактической обеспеченности учреждениями культуры от нормативной потребности:</w:t>
      </w:r>
    </w:p>
    <w:p w14:paraId="010C95A9" w14:textId="5510EA1B" w:rsidR="00000000" w:rsidRPr="002D72B7" w:rsidRDefault="00887419" w:rsidP="002D72B7">
      <w:pPr>
        <w:autoSpaceDE w:val="0"/>
        <w:autoSpaceDN w:val="0"/>
        <w:adjustRightInd w:val="0"/>
        <w:spacing w:before="100"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Уровень фактической обеспеченности учреждениями культуры от нормативной потребности в среднем составляет 100%</w:t>
      </w:r>
      <w:r w:rsidR="002D72B7">
        <w:rPr>
          <w:rFonts w:ascii="Times New Roman" w:hAnsi="Times New Roman"/>
          <w:sz w:val="24"/>
          <w:szCs w:val="24"/>
          <w:u w:color="FF0000"/>
        </w:rPr>
        <w:t>, в том числе</w:t>
      </w:r>
    </w:p>
    <w:p w14:paraId="293873D9" w14:textId="04F1DE83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клубами и учреждениями кл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убного типа</w:t>
      </w:r>
      <w:r w:rsid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 </w:t>
      </w:r>
      <w:r w:rsidRPr="002D72B7">
        <w:rPr>
          <w:rFonts w:ascii="Times New Roman" w:hAnsi="Times New Roman"/>
          <w:sz w:val="24"/>
          <w:szCs w:val="24"/>
          <w:u w:color="FF0000"/>
        </w:rPr>
        <w:t>100%</w:t>
      </w:r>
      <w:r w:rsidR="002D72B7">
        <w:rPr>
          <w:rFonts w:ascii="Times New Roman" w:hAnsi="Times New Roman"/>
          <w:sz w:val="24"/>
          <w:szCs w:val="24"/>
          <w:u w:color="FF0000"/>
        </w:rPr>
        <w:t>,</w:t>
      </w:r>
    </w:p>
    <w:p w14:paraId="3BF7828A" w14:textId="2D03F49D" w:rsidR="00000000" w:rsidRPr="002D72B7" w:rsidRDefault="002D72B7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б</w:t>
      </w:r>
      <w:r w:rsidR="00887419"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иблиотеками</w:t>
      </w:r>
      <w:r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 </w:t>
      </w:r>
      <w:r w:rsidR="00887419" w:rsidRPr="002D72B7">
        <w:rPr>
          <w:rFonts w:ascii="Times New Roman" w:hAnsi="Times New Roman"/>
          <w:sz w:val="24"/>
          <w:szCs w:val="24"/>
          <w:u w:color="FF0000"/>
        </w:rPr>
        <w:t>100%</w:t>
      </w:r>
      <w:r>
        <w:rPr>
          <w:rFonts w:ascii="Times New Roman" w:hAnsi="Times New Roman"/>
          <w:sz w:val="24"/>
          <w:szCs w:val="24"/>
          <w:u w:color="FF0000"/>
        </w:rPr>
        <w:t>,</w:t>
      </w:r>
    </w:p>
    <w:p w14:paraId="7115CB07" w14:textId="5514858C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парками культуры и отдыха</w:t>
      </w:r>
      <w:r w:rsid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 </w:t>
      </w:r>
      <w:r w:rsidR="002D72B7" w:rsidRPr="002D72B7">
        <w:rPr>
          <w:rFonts w:ascii="Times New Roman" w:hAnsi="Times New Roman"/>
          <w:color w:val="000000"/>
          <w:sz w:val="24"/>
          <w:szCs w:val="24"/>
          <w:u w:color="FF0000"/>
        </w:rPr>
        <w:t>п</w:t>
      </w:r>
      <w:r w:rsidRPr="002D72B7">
        <w:rPr>
          <w:rFonts w:ascii="Times New Roman" w:hAnsi="Times New Roman"/>
          <w:sz w:val="24"/>
          <w:szCs w:val="24"/>
          <w:u w:color="FF0000"/>
        </w:rPr>
        <w:t>ар</w:t>
      </w:r>
      <w:r w:rsidRPr="002D72B7">
        <w:rPr>
          <w:rFonts w:ascii="Times New Roman" w:hAnsi="Times New Roman"/>
          <w:sz w:val="24"/>
          <w:szCs w:val="24"/>
          <w:u w:color="FF0000"/>
        </w:rPr>
        <w:t>ки культуры и отдыха на территории района отсутствуют.</w:t>
      </w:r>
    </w:p>
    <w:p w14:paraId="598041B8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21. Доля муниципальных учреждений культуры, здания которых находятся в аварийном состоянии или требуют капитального ремонта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, в общем количестве муниципальных учреждений культуры</w:t>
      </w:r>
    </w:p>
    <w:p w14:paraId="720C1C83" w14:textId="77777777" w:rsidR="00000000" w:rsidRPr="002D72B7" w:rsidRDefault="00887419" w:rsidP="002D72B7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На конец 2024 года из 41 учреждения культуры требуют капитального ремонта:</w:t>
      </w:r>
    </w:p>
    <w:p w14:paraId="55AECE8A" w14:textId="77777777" w:rsidR="00000000" w:rsidRPr="002D72B7" w:rsidRDefault="00887419" w:rsidP="002D72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МБУК ЦКС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СДК с. Красный Завод,</w:t>
      </w:r>
    </w:p>
    <w:p w14:paraId="2E367533" w14:textId="77777777" w:rsidR="00000000" w:rsidRPr="002D72B7" w:rsidRDefault="00887419" w:rsidP="002D72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МБУК ЦКС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СДК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с.Вагино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>,</w:t>
      </w:r>
    </w:p>
    <w:p w14:paraId="7A3B0309" w14:textId="77777777" w:rsidR="00000000" w:rsidRPr="002D72B7" w:rsidRDefault="00887419" w:rsidP="002D72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МБУК ЦКС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</w:t>
      </w:r>
      <w:r w:rsidRPr="002D72B7">
        <w:rPr>
          <w:rFonts w:ascii="Times New Roman" w:hAnsi="Times New Roman"/>
          <w:sz w:val="24"/>
          <w:szCs w:val="24"/>
          <w:u w:color="FF0000"/>
        </w:rPr>
        <w:t>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СДК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с.Большая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Косуль,</w:t>
      </w:r>
    </w:p>
    <w:p w14:paraId="44F0647C" w14:textId="77777777" w:rsidR="00000000" w:rsidRPr="002D72B7" w:rsidRDefault="00887419" w:rsidP="002D72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МБУК ЦКС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СК д. Ильинка,</w:t>
      </w:r>
    </w:p>
    <w:p w14:paraId="554BB865" w14:textId="77777777" w:rsidR="00000000" w:rsidRPr="002D72B7" w:rsidRDefault="00887419" w:rsidP="002D72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  МБУК ЦБС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Центральная библиотека.</w:t>
      </w:r>
    </w:p>
    <w:p w14:paraId="284685A6" w14:textId="49A98EBB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Доля муниципальных учреждений культуры, здания и помещения которых требуют капитального ремонта в общем количеств</w:t>
      </w:r>
      <w:r w:rsidRPr="002D72B7">
        <w:rPr>
          <w:rFonts w:ascii="Times New Roman" w:hAnsi="Times New Roman"/>
          <w:sz w:val="24"/>
          <w:szCs w:val="24"/>
          <w:u w:color="FF0000"/>
        </w:rPr>
        <w:t>е муниципальных учреждений культуры за 2024 год составила 12,2 %.</w:t>
      </w:r>
    </w:p>
    <w:p w14:paraId="3481F75D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муниципальной собственности</w:t>
      </w:r>
    </w:p>
    <w:p w14:paraId="63276AC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На территории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зарегистрировано два объекта культурного наследия, находящиеся в муниципальной собственности: в с.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Критово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"Трактор "ХТЗ", установленный в 1970 году; в д. Лебедевка «Братская могила партизан,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погибших в бою с колчаковским отрядом в 1918 году». </w:t>
      </w:r>
    </w:p>
    <w:p w14:paraId="7A38A5DD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 </w:t>
      </w:r>
      <w:r w:rsidRPr="002D72B7">
        <w:rPr>
          <w:rFonts w:ascii="Times New Roman" w:hAnsi="Times New Roman"/>
          <w:sz w:val="24"/>
          <w:szCs w:val="24"/>
          <w:u w:color="FF0000"/>
        </w:rPr>
        <w:tab/>
        <w:t>Данные объекты, в связи с износом, требуют реставрации.</w:t>
      </w:r>
    </w:p>
    <w:p w14:paraId="6A40115C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 xml:space="preserve">Таким образом 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доля объектов культурного наследия, находящихся в муниципальной собственности и требующих консервации или реставрации, в общем ко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 xml:space="preserve">личестве объектов 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lastRenderedPageBreak/>
        <w:t>культурного наследия, находящихся в муниципальной собственности в 2024 г. составила 100%, в прогнозном периоде 2025-2027 гг. также ожидается в размере 100%.</w:t>
      </w:r>
    </w:p>
    <w:p w14:paraId="0D6E26AA" w14:textId="77777777" w:rsidR="00527DF6" w:rsidRDefault="00527DF6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</w:p>
    <w:p w14:paraId="6802061C" w14:textId="44E48279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color="FF0000"/>
        </w:rPr>
      </w:pPr>
      <w:bookmarkStart w:id="0" w:name="_GoBack"/>
      <w:bookmarkEnd w:id="0"/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V. Физическая культура и спорт</w:t>
      </w:r>
    </w:p>
    <w:p w14:paraId="30B146F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p w14:paraId="1BFCA064" w14:textId="77777777" w:rsidR="00000000" w:rsidRPr="002D72B7" w:rsidRDefault="00887419" w:rsidP="002D72B7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На территории района два учреждения осуществляю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т деятельность в области физической культуры и спорта: Муниципальное бюджетное учреждение дополнительного образования «Спортивная школа «Олимпиец» и Муниципальное автономное учреждение спортивно-оздоровительная база отдыха «Сосновый бор».  </w:t>
      </w:r>
    </w:p>
    <w:p w14:paraId="45A1DF50" w14:textId="77777777" w:rsidR="00000000" w:rsidRPr="002D72B7" w:rsidRDefault="00887419" w:rsidP="002D72B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МБУ ДО «СШ «Ол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импиец» осуществляет спортивную подготовку по виду спорта спортивная борьба (дисциплина греко-римская борьба), 11 человек проходят обучение на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учебно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- тренировочном этапе, 18 человек на начальной подготовке и 10 человек занимаются на спортивно – оздоровит</w:t>
      </w:r>
      <w:r w:rsidRPr="002D72B7">
        <w:rPr>
          <w:rFonts w:ascii="Times New Roman" w:hAnsi="Times New Roman"/>
          <w:sz w:val="24"/>
          <w:szCs w:val="24"/>
          <w:u w:color="FF0000"/>
        </w:rPr>
        <w:t>ельном этапе.</w:t>
      </w:r>
    </w:p>
    <w:p w14:paraId="6E00E8BC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Объекты культурного наследия в муниципальной собственности отсутствуют.</w:t>
      </w:r>
    </w:p>
    <w:p w14:paraId="33ED6AFC" w14:textId="77777777" w:rsidR="00000000" w:rsidRPr="002D72B7" w:rsidRDefault="00887419" w:rsidP="002D72B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На базе МБУ ДО «СШ «Олимпиец» осуществляют свою деятельность 5 спортивных клубов по месту жительства, всего в клубах по месту жительства занимается 922 человек:</w:t>
      </w:r>
    </w:p>
    <w:p w14:paraId="362E1499" w14:textId="77777777" w:rsidR="00000000" w:rsidRPr="002D72B7" w:rsidRDefault="00887419" w:rsidP="002D72B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спортив</w:t>
      </w:r>
      <w:r w:rsidRPr="002D72B7">
        <w:rPr>
          <w:rFonts w:ascii="Times New Roman" w:hAnsi="Times New Roman"/>
          <w:sz w:val="24"/>
          <w:szCs w:val="24"/>
          <w:u w:color="FF0000"/>
        </w:rPr>
        <w:t>ный клуб «Раскат» - подготовка к сдаче нормативов ВФСК ГТО, фитнес, настольный теннис, открыто отделения северной ходьбы;</w:t>
      </w:r>
    </w:p>
    <w:p w14:paraId="20D8FD43" w14:textId="77777777" w:rsidR="00000000" w:rsidRPr="002D72B7" w:rsidRDefault="00887419" w:rsidP="002D72B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спортивный клуб «Динамика» - волейбол, настольный теннис, мини - футбол;</w:t>
      </w:r>
    </w:p>
    <w:p w14:paraId="3F78B859" w14:textId="77777777" w:rsidR="00000000" w:rsidRPr="002D72B7" w:rsidRDefault="00887419" w:rsidP="002D72B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спортивный клуб «Спарта» - настольный теннис, ОФП;</w:t>
      </w:r>
    </w:p>
    <w:p w14:paraId="15451357" w14:textId="77777777" w:rsidR="00000000" w:rsidRPr="002D72B7" w:rsidRDefault="00887419" w:rsidP="002D72B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спортив</w:t>
      </w:r>
      <w:r w:rsidRPr="002D72B7">
        <w:rPr>
          <w:rFonts w:ascii="Times New Roman" w:hAnsi="Times New Roman"/>
          <w:sz w:val="24"/>
          <w:szCs w:val="24"/>
          <w:u w:color="FF0000"/>
        </w:rPr>
        <w:t>ный клуб «Тонус» - волейбол, ОФП, фитнес;</w:t>
      </w:r>
    </w:p>
    <w:p w14:paraId="16039E64" w14:textId="77777777" w:rsidR="00000000" w:rsidRPr="002D72B7" w:rsidRDefault="00887419" w:rsidP="002D72B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спортивный клуб «Здоровяк» - настольный теннис, шашки, шахматы, ОФП.</w:t>
      </w:r>
    </w:p>
    <w:p w14:paraId="23E01522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 xml:space="preserve">В 2024 году МАУ СОБО «Сосновый Бор» посетили 820 человек. </w:t>
      </w:r>
    </w:p>
    <w:p w14:paraId="669772AB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Общая численность занимающихся физической культурой и спортом жителей района на 01.</w:t>
      </w:r>
      <w:r w:rsidRPr="002D72B7">
        <w:rPr>
          <w:rFonts w:ascii="Times New Roman" w:hAnsi="Times New Roman"/>
          <w:sz w:val="24"/>
          <w:szCs w:val="24"/>
          <w:u w:color="FF0000"/>
        </w:rPr>
        <w:t>01.2025 г. составила 3354 чел.</w:t>
      </w:r>
    </w:p>
    <w:p w14:paraId="48246B8E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23. Доля населения, систематически занимающегося физической культурой и спортом</w:t>
      </w:r>
    </w:p>
    <w:p w14:paraId="66B7C7F8" w14:textId="1AE0B78D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Доля населения, систематически занимающихся физической культурой и спортом за 2024 год, в общей численности населения, составила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46,49 %, что на 3,09 % больше</w:t>
      </w:r>
      <w:r w:rsidR="00B74B1F">
        <w:rPr>
          <w:rFonts w:ascii="Times New Roman" w:hAnsi="Times New Roman"/>
          <w:sz w:val="24"/>
          <w:szCs w:val="24"/>
          <w:u w:color="FF0000"/>
        </w:rPr>
        <w:t>,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чем в 2023 году. К 2027 году этот показатель планируется повысить до 60,2%.</w:t>
      </w:r>
    </w:p>
    <w:p w14:paraId="251B19FC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14:paraId="48914845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Доля обучающихся, систематичес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ки занимающихся физической культурой и спортом, в общей численности обучающихся составила в 2024 году 97,28 %. Причиной незначительного снижения по сравнению с 2023 годом является уменьшение численности обучающихся. </w:t>
      </w:r>
    </w:p>
    <w:p w14:paraId="088E50BE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Для привлечения учащихся к занятиям сп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ортом на территории района работают клубы по месту жительства с обновленным спортивным инвентарем и оборудованием. Также в 2024 году построено новое спортивное сооружение в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с.Боготол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, а именно комплексная площадка для подвижных игр. </w:t>
      </w:r>
    </w:p>
    <w:p w14:paraId="56BC3C0C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 xml:space="preserve">Таким образом к 2027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году доля обучающихся, систематически занимающихся физической культурой и спортом, в общей численности обучающихся </w:t>
      </w:r>
      <w:proofErr w:type="gramStart"/>
      <w:r w:rsidRPr="002D72B7">
        <w:rPr>
          <w:rFonts w:ascii="Times New Roman" w:hAnsi="Times New Roman"/>
          <w:sz w:val="24"/>
          <w:szCs w:val="24"/>
          <w:u w:color="FF0000"/>
        </w:rPr>
        <w:t>возрастет  до</w:t>
      </w:r>
      <w:proofErr w:type="gramEnd"/>
      <w:r w:rsidRPr="002D72B7">
        <w:rPr>
          <w:rFonts w:ascii="Times New Roman" w:hAnsi="Times New Roman"/>
          <w:sz w:val="24"/>
          <w:szCs w:val="24"/>
          <w:u w:color="FF0000"/>
        </w:rPr>
        <w:t xml:space="preserve"> 99 %. </w:t>
      </w:r>
    </w:p>
    <w:p w14:paraId="0E588CF3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</w:p>
    <w:p w14:paraId="76241207" w14:textId="77777777" w:rsidR="00000000" w:rsidRPr="002D72B7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VI. Жилищное строительство и обеспечение граждан жильем</w:t>
      </w:r>
    </w:p>
    <w:p w14:paraId="60D488E2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p w14:paraId="7DED4399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24. Общая площадь жилых помещений, приходящаяся в среднем на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 одного жителя</w:t>
      </w:r>
    </w:p>
    <w:p w14:paraId="510D1CE0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Общая площадь жилых помещений на территории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на 31.12.2024 года составляет 203,440 тыс. кв. м., в том числе 3,71 тыс. кв. м. приходится на жилые здания КГБУСО "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Боготольский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психоневрологический дом интернат» на территори</w:t>
      </w:r>
      <w:r w:rsidRPr="002D72B7">
        <w:rPr>
          <w:rFonts w:ascii="Times New Roman" w:hAnsi="Times New Roman"/>
          <w:sz w:val="24"/>
          <w:szCs w:val="24"/>
          <w:u w:color="FF0000"/>
        </w:rPr>
        <w:t>и с. Боготол (по данным Агентства по управлению государственным имуществом Красноярского края).</w:t>
      </w:r>
    </w:p>
    <w:p w14:paraId="7F199A22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lastRenderedPageBreak/>
        <w:t xml:space="preserve"> В среднем на одного жителя района приходится 27,14 кв. м. жилых помещений, что на 1,18 кв. м. больше 2023 года.</w:t>
      </w:r>
    </w:p>
    <w:p w14:paraId="143B059D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 xml:space="preserve">К 2027 году данный показатель составит 29,7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кв</w:t>
      </w:r>
      <w:r w:rsidRPr="002D72B7">
        <w:rPr>
          <w:rFonts w:ascii="Times New Roman" w:hAnsi="Times New Roman"/>
          <w:sz w:val="24"/>
          <w:szCs w:val="24"/>
          <w:u w:color="FF0000"/>
        </w:rPr>
        <w:t>.м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>.</w:t>
      </w:r>
    </w:p>
    <w:p w14:paraId="375303DE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  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830"/>
        <w:gridCol w:w="1276"/>
        <w:gridCol w:w="1276"/>
        <w:gridCol w:w="1276"/>
        <w:gridCol w:w="1275"/>
        <w:gridCol w:w="1276"/>
      </w:tblGrid>
      <w:tr w:rsidR="00000000" w:rsidRPr="00887419" w14:paraId="1C5BD87B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3F7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1CE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0000" w:rsidRPr="00887419" w14:paraId="3DF2E5F1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A0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28D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084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A5F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FA6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432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000000" w:rsidRPr="00887419" w14:paraId="38315890" w14:textId="7777777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1FE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1. Общая площадь жилых помещений, </w:t>
            </w:r>
            <w:proofErr w:type="spellStart"/>
            <w:proofErr w:type="gramStart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кв.м</w:t>
            </w:r>
            <w:proofErr w:type="spellEnd"/>
            <w:proofErr w:type="gramEnd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br/>
            </w:r>
            <w:r w:rsidRPr="00887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color="FF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19B9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198 850,00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8BD20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203 440,00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05BB1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204 740,00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E6A20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206 040,00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E3474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207 340,00</w:t>
            </w:r>
          </w:p>
        </w:tc>
      </w:tr>
      <w:tr w:rsidR="00000000" w:rsidRPr="00887419" w14:paraId="4D49E312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5EE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2. Введено жилых помещений за отчетный период, </w:t>
            </w:r>
            <w:proofErr w:type="spellStart"/>
            <w:proofErr w:type="gramStart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E46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6D1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34EB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CAB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D12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1 300,00</w:t>
            </w:r>
          </w:p>
        </w:tc>
      </w:tr>
      <w:tr w:rsidR="00000000" w:rsidRPr="00887419" w14:paraId="0CCE2AF1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21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3. Выбыло жилых помещений за отчетный период, </w:t>
            </w:r>
            <w:proofErr w:type="spellStart"/>
            <w:proofErr w:type="gramStart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D89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EE39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7C3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FC3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8B8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</w:tr>
      <w:tr w:rsidR="00000000" w:rsidRPr="00887419" w14:paraId="15E1D1ED" w14:textId="7777777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120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4.</w:t>
            </w:r>
            <w:r w:rsidRPr="00887419">
              <w:rPr>
                <w:rFonts w:ascii="Times New Roman" w:hAnsi="Times New Roman"/>
                <w:color w:val="C00000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Численность постоянного населен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ия муниципального, городского округа (муниципального района) </w:t>
            </w: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на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конец отчетного года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, ч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B66E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747C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001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B89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50B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6 980</w:t>
            </w:r>
          </w:p>
        </w:tc>
      </w:tr>
      <w:tr w:rsidR="00000000" w:rsidRPr="00887419" w14:paraId="333E4D36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DF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6DF87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25,96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E164E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27,14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E938B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27,96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31271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B62F3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29,70</w:t>
            </w:r>
          </w:p>
        </w:tc>
      </w:tr>
    </w:tbl>
    <w:p w14:paraId="4EF1E883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24.1. в том числе введенная в действие за один год</w:t>
      </w:r>
    </w:p>
    <w:p w14:paraId="75041D63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Ввод жилья в 2024 году на одного жителя составил 0,17 кв. м.</w:t>
      </w:r>
      <w:r w:rsidRPr="002D72B7">
        <w:rPr>
          <w:rFonts w:ascii="Times New Roman" w:hAnsi="Times New Roman"/>
          <w:sz w:val="24"/>
          <w:szCs w:val="24"/>
          <w:u w:color="FF0000"/>
        </w:rPr>
        <w:tab/>
        <w:t>Ожидаемый ввод жилья на 2025-2027 годы 1300 кв. м. ежегодно за счет индивидуального жилищного строительства.</w:t>
      </w:r>
    </w:p>
    <w:p w14:paraId="39E85E1E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114"/>
        <w:gridCol w:w="850"/>
        <w:gridCol w:w="993"/>
        <w:gridCol w:w="1134"/>
        <w:gridCol w:w="1134"/>
        <w:gridCol w:w="1134"/>
      </w:tblGrid>
      <w:tr w:rsidR="00000000" w:rsidRPr="00887419" w14:paraId="369BB67E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882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Наименование показателя и единицы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81A0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0000" w:rsidRPr="00887419" w14:paraId="6CDD12DC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6D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D27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043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78C2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9023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0BD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000000" w:rsidRPr="00887419" w14:paraId="14C5CB4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7C2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1. Введено всего, </w:t>
            </w:r>
            <w:proofErr w:type="spellStart"/>
            <w:proofErr w:type="gramStart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кв.м</w:t>
            </w:r>
            <w:proofErr w:type="spellEnd"/>
            <w:proofErr w:type="gramEnd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8BE1B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5F20B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75FFC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E1D76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112BB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1 300</w:t>
            </w:r>
          </w:p>
        </w:tc>
      </w:tr>
      <w:tr w:rsidR="00000000" w:rsidRPr="00887419" w14:paraId="689BCA9A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B33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ind w:firstLine="2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1.1. индивидуальное жилищное строительство, </w:t>
            </w:r>
            <w:proofErr w:type="spellStart"/>
            <w:proofErr w:type="gramStart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37C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8AF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02B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1 300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5368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1 300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840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1 300</w:t>
            </w:r>
          </w:p>
        </w:tc>
      </w:tr>
      <w:tr w:rsidR="00000000" w:rsidRPr="00887419" w14:paraId="2157ECF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54A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ind w:firstLine="24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1.2. многоквартирное с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троительство, </w:t>
            </w:r>
            <w:proofErr w:type="spellStart"/>
            <w:proofErr w:type="gramStart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47B4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799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2FB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FFC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6B0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</w:tr>
      <w:tr w:rsidR="00000000" w:rsidRPr="00887419" w14:paraId="154AD287" w14:textId="77777777" w:rsidTr="002C299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7C4" w14:textId="127EC2B6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lastRenderedPageBreak/>
              <w:t>2.</w:t>
            </w: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Среднегодовая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4C9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DCE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400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DEE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30B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7066</w:t>
            </w:r>
          </w:p>
        </w:tc>
      </w:tr>
      <w:tr w:rsidR="00000000" w:rsidRPr="00887419" w14:paraId="570E9F67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2EE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3. Общая площадь жилых помещений, введенная в действие за один год, приходящаяся в </w:t>
            </w: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среднем на одного жителя (стр. 1/ стр.2)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C4288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542C7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39E41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EEFAB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148A6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0,18</w:t>
            </w:r>
          </w:p>
        </w:tc>
      </w:tr>
    </w:tbl>
    <w:p w14:paraId="67060CA1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p w14:paraId="473EF826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ва, индивидуального строительства и комплексного освоения в целях жилищного строительства</w:t>
      </w:r>
    </w:p>
    <w:p w14:paraId="259CD32B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В 2024 году площадь земельных участков, предоставленных для строительства, составила 8,7 га (10 участков), в том числе для жилищного строительства 2,6 га (8 участков</w:t>
      </w:r>
      <w:r w:rsidRPr="002D72B7">
        <w:rPr>
          <w:rFonts w:ascii="Times New Roman" w:hAnsi="Times New Roman"/>
          <w:sz w:val="24"/>
          <w:szCs w:val="24"/>
          <w:u w:color="FF0000"/>
        </w:rPr>
        <w:t>). Для строительства объектов, не являющихся объектами жилищного строительства 6,1га (2 участка)- под строительство объекта «Храма-часовни» в с. Красный Завод и строительство</w:t>
      </w:r>
      <w:r w:rsidRPr="002D72B7">
        <w:rPr>
          <w:rFonts w:ascii="Times New Roman" w:hAnsi="Times New Roman"/>
          <w:sz w:val="24"/>
          <w:szCs w:val="24"/>
          <w:highlight w:val="cyan"/>
          <w:u w:color="FF0000"/>
        </w:rPr>
        <w:t xml:space="preserve"> </w:t>
      </w:r>
      <w:r w:rsidRPr="002D72B7">
        <w:rPr>
          <w:rFonts w:ascii="Times New Roman" w:hAnsi="Times New Roman"/>
          <w:sz w:val="24"/>
          <w:szCs w:val="24"/>
          <w:u w:color="FF0000"/>
        </w:rPr>
        <w:t>зерносушильного комплекс 6,0 га.</w:t>
      </w:r>
    </w:p>
    <w:p w14:paraId="0C5DE86C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На период 2025-2027 годы планируется ежегодное п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редоставление 3 га (15 участков) для индивидуального жилищного строительства на территории района, и 5 га для строительства объектов, не являющихся объектами жилищного строительства. 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992"/>
        <w:gridCol w:w="1134"/>
        <w:gridCol w:w="959"/>
        <w:gridCol w:w="1026"/>
      </w:tblGrid>
      <w:tr w:rsidR="00000000" w:rsidRPr="00887419" w14:paraId="1EBF2CB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3BD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9C2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0000" w:rsidRPr="00887419" w14:paraId="67812869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F9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0EC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1011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F76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87B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C09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000000" w:rsidRPr="00887419" w14:paraId="08B61AC6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FE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1. Площадь земельных участков, предоставленных для строительства, га,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521F5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87FF9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6591F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9E3EA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D53DF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8,00</w:t>
            </w:r>
          </w:p>
        </w:tc>
      </w:tr>
      <w:tr w:rsidR="00000000" w:rsidRPr="00887419" w14:paraId="00945895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D7B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1.1. для жилищного строительства (в т.ч. для ИЖС),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8C99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A7E5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DE3B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6A77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3905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3,00</w:t>
            </w:r>
          </w:p>
        </w:tc>
      </w:tr>
      <w:tr w:rsidR="00000000" w:rsidRPr="00887419" w14:paraId="6C5236D4" w14:textId="7777777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07D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1.2. для компл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ексного освоения в целях жилищного строительства,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4E0C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F380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4942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42D1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31A3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</w:tr>
      <w:tr w:rsidR="00000000" w:rsidRPr="00887419" w14:paraId="3DF13BFC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445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0E26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940C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6420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08B9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819C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5,00</w:t>
            </w:r>
          </w:p>
        </w:tc>
      </w:tr>
      <w:tr w:rsidR="00000000" w:rsidRPr="00887419" w14:paraId="048F2ED8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0CD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2.</w:t>
            </w:r>
            <w:r w:rsidRPr="00887419">
              <w:rPr>
                <w:rFonts w:ascii="Times New Roman" w:hAnsi="Times New Roman"/>
                <w:color w:val="C00000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Среднегодовая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численность постоянного населения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 муниципального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, городского округа (муниципального района),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442D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5D8F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0B2C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7 409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64CB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7 237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AB21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7 066</w:t>
            </w:r>
          </w:p>
        </w:tc>
      </w:tr>
      <w:tr w:rsidR="00000000" w:rsidRPr="00887419" w14:paraId="1CEE85C3" w14:textId="77777777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CC1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lastRenderedPageBreak/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715797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DE1F3D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0556E7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10,80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87C2E9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11,05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F1327E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11,32</w:t>
            </w:r>
          </w:p>
        </w:tc>
      </w:tr>
      <w:tr w:rsidR="00000000" w:rsidRPr="00887419" w14:paraId="580AFC14" w14:textId="7777777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503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4. Площадь</w:t>
            </w: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FA77D8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786BAE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6BDA94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513F5D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9CA116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4,25</w:t>
            </w:r>
          </w:p>
        </w:tc>
      </w:tr>
    </w:tbl>
    <w:p w14:paraId="38756CC0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color="FF0000"/>
        </w:rPr>
      </w:pPr>
    </w:p>
    <w:p w14:paraId="0BD9C14B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sz w:val="24"/>
          <w:szCs w:val="24"/>
          <w:u w:color="FF0000"/>
        </w:rPr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14:paraId="3BD90EEC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Площадь земельных участков, предоставленных для жилищного строительства в 2024 году сос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тавила 3,43 га на 10 тыс. человек населения района, снижение на 0,06 га по сравнению с 2023 годом произошло по причине уменьшения обращений граждан за предоставлением земельных участков для жилищного строительства. </w:t>
      </w:r>
    </w:p>
    <w:p w14:paraId="111E41D0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Для комплексного освоения в целях жилищн</w:t>
      </w:r>
      <w:r w:rsidRPr="002D72B7">
        <w:rPr>
          <w:rFonts w:ascii="Times New Roman" w:hAnsi="Times New Roman"/>
          <w:sz w:val="24"/>
          <w:szCs w:val="24"/>
          <w:u w:color="FF0000"/>
        </w:rPr>
        <w:t>ого строительства 2024 году земельные участки не предоставлялись.</w:t>
      </w:r>
    </w:p>
    <w:p w14:paraId="26BB67A4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оргов (конкурсов, аукционов) не было получено разрешение на ввод в эксплуатацию:</w:t>
      </w:r>
    </w:p>
    <w:p w14:paraId="6742BA68" w14:textId="77777777" w:rsidR="00000000" w:rsidRPr="002D72B7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26.1. объектов жилищного строительства - в течение 3 лет</w:t>
      </w:r>
    </w:p>
    <w:p w14:paraId="4C0A6704" w14:textId="77777777" w:rsidR="00000000" w:rsidRPr="002D72B7" w:rsidRDefault="00887419" w:rsidP="00B74B1F">
      <w:pPr>
        <w:autoSpaceDE w:val="0"/>
        <w:autoSpaceDN w:val="0"/>
        <w:adjustRightInd w:val="0"/>
        <w:spacing w:after="200" w:line="240" w:lineRule="auto"/>
        <w:ind w:hanging="20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Земельных участков, предоставленных для строительства объектов жилищного строительства, в отношении которых с даты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течении 3 лет в районе нет.</w:t>
      </w:r>
    </w:p>
    <w:p w14:paraId="6164F4BB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26.2. иных объектов капитального строительства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 - в течение 5 лет</w:t>
      </w:r>
    </w:p>
    <w:p w14:paraId="31199439" w14:textId="24006FEC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Также отсутствуют земельные участки, предоставленные для строительства иных объектов,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</w:t>
      </w:r>
      <w:r w:rsidRPr="002D72B7">
        <w:rPr>
          <w:rFonts w:ascii="Times New Roman" w:hAnsi="Times New Roman"/>
          <w:sz w:val="24"/>
          <w:szCs w:val="24"/>
          <w:u w:color="FF0000"/>
        </w:rPr>
        <w:t>е было получено разрешение на ввод в эксплуатацию в течении 5 лет.</w:t>
      </w:r>
    </w:p>
    <w:p w14:paraId="3D581E6E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</w:p>
    <w:p w14:paraId="789445FD" w14:textId="77777777" w:rsidR="00000000" w:rsidRPr="002D72B7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VII. Жилищно-коммунальное хозяйство</w:t>
      </w:r>
    </w:p>
    <w:p w14:paraId="2651EA00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</w:p>
    <w:p w14:paraId="43F88336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исле многоквартирных домов, в которых собственники помещений должны выбрать способ управления данными домами</w:t>
      </w:r>
    </w:p>
    <w:p w14:paraId="2FCE92F3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</w:t>
      </w:r>
      <w:r w:rsidRPr="002D72B7">
        <w:rPr>
          <w:rFonts w:ascii="Times New Roman" w:hAnsi="Times New Roman"/>
          <w:sz w:val="24"/>
          <w:szCs w:val="24"/>
          <w:u w:color="FF0000"/>
        </w:rPr>
        <w:t>е многоквартирных домов, в которых собственники помещений должны выбрать способ управления данными домами составляет 91,3%.</w:t>
      </w:r>
    </w:p>
    <w:p w14:paraId="5838CC39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lastRenderedPageBreak/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14:paraId="15FF814C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На территории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6 организаций оказывают услуги в сфере Ж</w:t>
      </w:r>
      <w:r w:rsidRPr="002D72B7">
        <w:rPr>
          <w:rFonts w:ascii="Times New Roman" w:hAnsi="Times New Roman"/>
          <w:sz w:val="24"/>
          <w:szCs w:val="24"/>
          <w:u w:color="FF0000"/>
        </w:rPr>
        <w:t>КХ, две из них (МУП "РТЭК и МКП "Услуга") муниципальной формы собственности и одна организация государственной формы собственности (ГКХ «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КрасноярскКрайгаз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>» Назаровский филиал) .</w:t>
      </w:r>
    </w:p>
    <w:p w14:paraId="06100B3E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Доля организаций коммунального комплекса, осуществляющих производство товаров</w:t>
      </w:r>
      <w:r w:rsidRPr="002D72B7">
        <w:rPr>
          <w:rFonts w:ascii="Times New Roman" w:hAnsi="Times New Roman"/>
          <w:sz w:val="24"/>
          <w:szCs w:val="24"/>
          <w:u w:color="FF0000"/>
        </w:rPr>
        <w:t>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</w:t>
      </w:r>
      <w:r w:rsidRPr="002D72B7">
        <w:rPr>
          <w:rFonts w:ascii="Times New Roman" w:hAnsi="Times New Roman"/>
          <w:sz w:val="24"/>
          <w:szCs w:val="24"/>
          <w:u w:color="FF0000"/>
        </w:rPr>
        <w:t>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составила 50,00%.</w:t>
      </w:r>
    </w:p>
    <w:p w14:paraId="11C3D777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29. Доля многоквартирных домов, расположенных на земельных участках, в отношении к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оторых осуществлен государственный кадастровый учет</w:t>
      </w:r>
    </w:p>
    <w:p w14:paraId="212DAE20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На 31.12.2024 г. в отношении 47,83% земельных участков, на которых расположены многоквартирные дома, осуществлен земельный кадастровый учет. 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121"/>
        <w:gridCol w:w="1134"/>
        <w:gridCol w:w="992"/>
        <w:gridCol w:w="993"/>
        <w:gridCol w:w="1134"/>
        <w:gridCol w:w="1275"/>
      </w:tblGrid>
      <w:tr w:rsidR="00000000" w:rsidRPr="00887419" w14:paraId="5895625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B67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35C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Значения показател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я</w:t>
            </w:r>
          </w:p>
        </w:tc>
      </w:tr>
      <w:tr w:rsidR="00000000" w:rsidRPr="00887419" w14:paraId="7A8CC584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8C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C39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2023</w:t>
            </w:r>
          </w:p>
          <w:p w14:paraId="1B986A7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3A7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A10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6125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6A4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2027 прогноз</w:t>
            </w:r>
          </w:p>
        </w:tc>
      </w:tr>
      <w:tr w:rsidR="00000000" w:rsidRPr="00887419" w14:paraId="784B62F6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45F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466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0112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6F8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E1E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F820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11</w:t>
            </w:r>
          </w:p>
        </w:tc>
      </w:tr>
      <w:tr w:rsidR="00000000" w:rsidRPr="00887419" w14:paraId="287D5045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84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2. Общее число многоквартирных домов 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по состоянию на конец отчетного периода, единиц 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br/>
            </w:r>
            <w:r w:rsidRPr="00887419">
              <w:rPr>
                <w:rFonts w:ascii="Times New Roman" w:hAnsi="Times New Roman"/>
                <w:i/>
                <w:iCs/>
                <w:sz w:val="24"/>
                <w:szCs w:val="24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882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DB6C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01D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C5B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B5D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23</w:t>
            </w:r>
          </w:p>
        </w:tc>
      </w:tr>
      <w:tr w:rsidR="00000000" w:rsidRPr="00887419" w14:paraId="60911F5D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412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</w:t>
            </w: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 xml:space="preserve"> учет, % (стр. 1/стр.2*100)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238759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B0308B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47,83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E71B0B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47,83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A962A3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47,83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DDE348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47,83</w:t>
            </w:r>
          </w:p>
        </w:tc>
      </w:tr>
    </w:tbl>
    <w:p w14:paraId="45F92D03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14:paraId="6166F5ED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lastRenderedPageBreak/>
        <w:t>Обе</w:t>
      </w:r>
      <w:r w:rsidRPr="002D72B7">
        <w:rPr>
          <w:rFonts w:ascii="Times New Roman" w:hAnsi="Times New Roman"/>
          <w:sz w:val="24"/>
          <w:szCs w:val="24"/>
          <w:u w:color="FF0000"/>
        </w:rPr>
        <w:t>спечение жилыми помещениями и улучшение жилищных условий по договорам социального найма в 2024 году не проводилось в связи с отсутствием соответствующих жилых помещений.</w:t>
      </w:r>
    </w:p>
    <w:p w14:paraId="45F56A2E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В прогнозном периоде на 2025-2027 годы предоставление жилья по договорам социального н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айма не планируется, так как строительство социального жилья на территории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отсутствует.</w:t>
      </w:r>
    </w:p>
    <w:p w14:paraId="72F73276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Жилье в районе строится в большей доле индивидуальными застройщиками за счет собственных и заемных средств.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106"/>
        <w:gridCol w:w="1134"/>
        <w:gridCol w:w="992"/>
        <w:gridCol w:w="851"/>
        <w:gridCol w:w="1134"/>
        <w:gridCol w:w="1134"/>
      </w:tblGrid>
      <w:tr w:rsidR="00000000" w:rsidRPr="00887419" w14:paraId="23A17FF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B3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Наименование показателя и единицы изм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914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0000" w:rsidRPr="00887419" w14:paraId="3C0F0A1C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673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C18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77B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843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136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C1F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000000" w:rsidRPr="00887419" w14:paraId="53685ABC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01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1. Численность населения (семей), получившего жилые помещения и улучшившего жилищные условия по договору социального найма в отчетном году (по данным статистического о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тчета 4-соцнайм графа 3 строка 01 минус строка 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F72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F92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3BF5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227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933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</w:tr>
      <w:tr w:rsidR="00000000" w:rsidRPr="00887419" w14:paraId="3EFFB827" w14:textId="77777777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по договорам социального найма на конец прошлого года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, чел.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E2ED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48D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822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A7D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1B8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11</w:t>
            </w:r>
          </w:p>
        </w:tc>
      </w:tr>
      <w:tr w:rsidR="00000000" w:rsidRPr="00887419" w14:paraId="05E5EED7" w14:textId="77777777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986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3. Доля населения</w:t>
            </w: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0B279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F9CD9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51645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8222F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83FF4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</w:tr>
    </w:tbl>
    <w:p w14:paraId="610854B1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</w:p>
    <w:p w14:paraId="7A1CA8A2" w14:textId="292AE3A3" w:rsidR="00000000" w:rsidRPr="002D72B7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VIII. Организация муниципальног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о управления</w:t>
      </w:r>
    </w:p>
    <w:p w14:paraId="3168651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</w:p>
    <w:p w14:paraId="0CFB64C0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14:paraId="0640E808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</w:t>
      </w:r>
      <w:r w:rsidRPr="002D72B7">
        <w:rPr>
          <w:rFonts w:ascii="Times New Roman" w:hAnsi="Times New Roman"/>
          <w:sz w:val="24"/>
          <w:szCs w:val="24"/>
          <w:u w:color="FF0000"/>
        </w:rPr>
        <w:t>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составила в 2024 году 10,20%,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что выше уровня 2023 года на 0,38%. Рост фактического поступления налоговых и неналоговых доходов произошло за счет роста поступлений по налогу на прибыль организаций (постановка на учет новых налогоплательщиков), а также за счет увеличения поступлений по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налогу на доходы физических лиц в связи с повышением минимального размера оплаты труда, повышением размеров оплаты труда работникам бюджетной сферы Красноярского края в части специальной краевой выплаты, увеличения денежного поощрения, за счет роста налог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ооблагаемой базы по упрощенной системе </w:t>
      </w:r>
      <w:r w:rsidRPr="002D72B7">
        <w:rPr>
          <w:rFonts w:ascii="Times New Roman" w:hAnsi="Times New Roman"/>
          <w:sz w:val="24"/>
          <w:szCs w:val="24"/>
          <w:u w:color="FF0000"/>
        </w:rPr>
        <w:lastRenderedPageBreak/>
        <w:t>налогообложения и соответственно суммы уплаченного налога. По неналоговым доходам увеличение поступлений в 2024 году произошло в связи с увеличением арендной платы за счет коэффициента дефлятора, применяемого при расч</w:t>
      </w:r>
      <w:r w:rsidRPr="002D72B7">
        <w:rPr>
          <w:rFonts w:ascii="Times New Roman" w:hAnsi="Times New Roman"/>
          <w:sz w:val="24"/>
          <w:szCs w:val="24"/>
          <w:u w:color="FF0000"/>
        </w:rPr>
        <w:t>ете арендной платы за земельные участки, находящиеся в муниципальной собственности и земельные участки, право государственной собственности на которые не разграничено, а также за счет продажи имущества по плану приватизации. В 2025 году снижение показателя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к уровню 2024 года составило 1,22%. Снижение прогноза 2025 года от 2024 года за счет снижения прогнозных показателей собственных доходов (2024 – 65449,10 тыс. рублей; 2025 – 59765,53 тыс. рублей, а именно УСН (доходы) 2024 – 7339,87 тыс. рублей; 2025 – 60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90,0 тыс. рублей (в прогнозе не учтена сумма 496,17 тыс. рублей, поступившая в период с 01.11.2024 по 31.12.2024). В меньшем объеме запланированы доходы от сдачи в аренду имущества 2024 – 1452,71 тыс. рублей, 2025 – 350,0 тыс. рублей, доходы от реализации </w:t>
      </w:r>
      <w:r w:rsidRPr="002D72B7">
        <w:rPr>
          <w:rFonts w:ascii="Times New Roman" w:hAnsi="Times New Roman"/>
          <w:sz w:val="24"/>
          <w:szCs w:val="24"/>
          <w:u w:color="FF0000"/>
        </w:rPr>
        <w:t>имущества согласно плану приватизации 2024 – 1229,74 тыс. рублей, 2025 – 140,0 тыс. рублей. Также в 2024 году поступил разовый платеж за причиненный ущерб в особо крупном размере (незаконная рубка лесных насаждений) в размере 1771,16 тыс. рублей.</w:t>
      </w:r>
    </w:p>
    <w:p w14:paraId="031235CE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Ожидаем</w:t>
      </w:r>
      <w:r w:rsidRPr="002D72B7">
        <w:rPr>
          <w:rFonts w:ascii="Times New Roman" w:hAnsi="Times New Roman"/>
          <w:sz w:val="24"/>
          <w:szCs w:val="24"/>
          <w:u w:color="FF0000"/>
        </w:rPr>
        <w:t>ое увеличение показателя в 2026 и 2027 гг. связано, в первую очередь, с увеличением объема налоговых и неналоговых доходов в 2026 году на 3,00 млн. рублей, 2027 году на 3,68 млн. рублей. (Увеличение показателей прогнозируется практически по всем видам собс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твенных доходов за исключением ЕНВД, госпошлины (налоговый орган предоставляет одинаковые прогнозные показатели по этим видам налогов и платежей на три года), а также за исключением арендной платы за землю, арендной платы за имущество, продажи имущества и </w:t>
      </w:r>
      <w:r w:rsidRPr="002D72B7">
        <w:rPr>
          <w:rFonts w:ascii="Times New Roman" w:hAnsi="Times New Roman"/>
          <w:sz w:val="24"/>
          <w:szCs w:val="24"/>
          <w:u w:color="FF0000"/>
        </w:rPr>
        <w:t>платных услуг (они спрогнозированы в равных объемах на плановый период).</w:t>
      </w:r>
    </w:p>
    <w:p w14:paraId="3FF7F3AA" w14:textId="77777777" w:rsidR="00B74B1F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года, по полной учетной стоимости)</w:t>
      </w:r>
    </w:p>
    <w:p w14:paraId="0009FD90" w14:textId="264BA923" w:rsidR="00000000" w:rsidRPr="002D72B7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Организации муниципальной формы собственности, находящиеся в стадии банкротства, на</w:t>
      </w:r>
      <w:r w:rsidR="00B74B1F">
        <w:rPr>
          <w:rFonts w:ascii="Times New Roman" w:hAnsi="Times New Roman"/>
          <w:sz w:val="24"/>
          <w:szCs w:val="24"/>
          <w:u w:color="FF0000"/>
        </w:rPr>
        <w:t xml:space="preserve"> </w:t>
      </w:r>
      <w:r w:rsidRPr="002D72B7">
        <w:rPr>
          <w:rFonts w:ascii="Times New Roman" w:hAnsi="Times New Roman"/>
          <w:sz w:val="24"/>
          <w:szCs w:val="24"/>
          <w:u w:color="FF0000"/>
        </w:rPr>
        <w:t>территории муниципального района отсутствуют.</w:t>
      </w:r>
    </w:p>
    <w:p w14:paraId="4CC44A31" w14:textId="77777777" w:rsidR="00B74B1F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33. Объем не завершенного в установленные сроки строительства, осуществляемого за счет 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средств бюджета муниципального, городского округов (муниципального района)</w:t>
      </w:r>
    </w:p>
    <w:p w14:paraId="2EDE8443" w14:textId="3E5E8FED" w:rsidR="00000000" w:rsidRPr="002D72B7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Не завершенного в установленные сроки строительства, осуществляемого за счет средств бюджета муниципального района на территории нет.</w:t>
      </w:r>
    </w:p>
    <w:p w14:paraId="19B79D9E" w14:textId="77777777" w:rsidR="00B74B1F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34. Доля просроченной кредиторской задолженн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14:paraId="5C2A5AB9" w14:textId="42F43256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В 2024 году кредиторская задолженность у муниципальных учреждений р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айона отсутствовала. Задолженности по заработной плате перед работниками бюджетной сферы нет.</w:t>
      </w:r>
    </w:p>
    <w:p w14:paraId="67550356" w14:textId="77777777" w:rsidR="00B74B1F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14:paraId="75E307D8" w14:textId="6C8CC053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Расходы бюджета района на содержание работников органов местного самоуправления в расчете на одного жителя муниципального образования по итогам исполнения бюджета за 2024 год выросли по сравнению с исполнением за 2023 год на 2172,26 рублей, и составили 139</w:t>
      </w:r>
      <w:r w:rsidRPr="002D72B7">
        <w:rPr>
          <w:rFonts w:ascii="Times New Roman" w:hAnsi="Times New Roman"/>
          <w:sz w:val="24"/>
          <w:szCs w:val="24"/>
          <w:u w:color="FF0000"/>
        </w:rPr>
        <w:t>52,12 рублей. В соответствие с запланированными расходами на 2025 год плановый показатель составит 17116,45 руб. На 2026 г. в связи с ростом инфляции с одной стороны и снижением численности населения района с другой стороны этот показатель запланирован в о</w:t>
      </w:r>
      <w:r w:rsidRPr="002D72B7">
        <w:rPr>
          <w:rFonts w:ascii="Times New Roman" w:hAnsi="Times New Roman"/>
          <w:sz w:val="24"/>
          <w:szCs w:val="24"/>
          <w:u w:color="FF0000"/>
        </w:rPr>
        <w:t>бъеме 17869,57 руб., на 2027 год в объеме 18584,36 руб.</w:t>
      </w:r>
    </w:p>
    <w:p w14:paraId="517F2F8B" w14:textId="77777777" w:rsidR="00B74B1F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36. Наличие в муниципальном, городском округе (муниципальном районе) утвержденного генерального плана муниципального, городского округов (схемы 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lastRenderedPageBreak/>
        <w:t>территориального планирования муниципального района)</w:t>
      </w:r>
    </w:p>
    <w:p w14:paraId="4E150E46" w14:textId="77777777" w:rsidR="00B74B1F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Схема территориального планирования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утверждена Решением Совета депутатов от 08.10.2010г. № 6-26.</w:t>
      </w:r>
    </w:p>
    <w:p w14:paraId="73929964" w14:textId="77777777" w:rsidR="00B74B1F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14:paraId="1DBC55E1" w14:textId="5A13944D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Удовле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творенность населения деятельностью органов местного самоуправления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Боготорлоьского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по результатом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социалогических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</w:t>
      </w:r>
      <w:proofErr w:type="gramStart"/>
      <w:r w:rsidRPr="002D72B7">
        <w:rPr>
          <w:rFonts w:ascii="Times New Roman" w:hAnsi="Times New Roman"/>
          <w:sz w:val="24"/>
          <w:szCs w:val="24"/>
          <w:u w:color="FF0000"/>
        </w:rPr>
        <w:t>опросов ,</w:t>
      </w:r>
      <w:proofErr w:type="gramEnd"/>
      <w:r w:rsidRPr="002D72B7">
        <w:rPr>
          <w:rFonts w:ascii="Times New Roman" w:hAnsi="Times New Roman"/>
          <w:sz w:val="24"/>
          <w:szCs w:val="24"/>
          <w:u w:color="FF0000"/>
        </w:rPr>
        <w:t xml:space="preserve"> проведенных в 2024 году, составила 55,8%. </w:t>
      </w:r>
    </w:p>
    <w:p w14:paraId="2F36F759" w14:textId="3C2D3B4B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38. Среднегодовая численность постоянного населения</w:t>
      </w:r>
    </w:p>
    <w:p w14:paraId="6ABBEFE4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Среднегодовая численность п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остоянного населения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за 2024 год составила 7577 человек. Снижение по сравнению с 2023 годом составило 169 человек.</w:t>
      </w:r>
    </w:p>
    <w:p w14:paraId="46EEE082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Предполагается, что к 2027 году сохранится динамика снижения численности населения.</w:t>
      </w:r>
      <w:r w:rsidRPr="002D72B7">
        <w:rPr>
          <w:rFonts w:ascii="Times New Roman" w:hAnsi="Times New Roman"/>
          <w:sz w:val="24"/>
          <w:szCs w:val="24"/>
          <w:u w:color="FF0000"/>
        </w:rPr>
        <w:tab/>
      </w:r>
    </w:p>
    <w:p w14:paraId="5527BD88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На динамику численности населения в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прогнозном периоде влияют демографические процессы, происходящие в предыдущем и текущем году. Определяющую роль здесь будет играть и трудовая миграция населения. Общая убыль численности постоянного населения района в предстоящий трехлетний период составит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683 человека и в 2027 году достигнет 7066 человек.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92"/>
        <w:gridCol w:w="838"/>
        <w:gridCol w:w="812"/>
        <w:gridCol w:w="923"/>
        <w:gridCol w:w="1027"/>
        <w:gridCol w:w="1027"/>
        <w:gridCol w:w="1077"/>
        <w:gridCol w:w="1027"/>
      </w:tblGrid>
      <w:tr w:rsidR="00000000" w:rsidRPr="00887419" w14:paraId="4F3DC904" w14:textId="77777777" w:rsidTr="00B74B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F03B" w14:textId="77777777" w:rsidR="00000000" w:rsidRPr="00887419" w:rsidRDefault="00887419" w:rsidP="00B74B1F">
            <w:pPr>
              <w:autoSpaceDE w:val="0"/>
              <w:autoSpaceDN w:val="0"/>
              <w:adjustRightInd w:val="0"/>
              <w:spacing w:after="200"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1D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Наименование показателя</w:t>
            </w:r>
          </w:p>
        </w:tc>
        <w:tc>
          <w:tcPr>
            <w:tcW w:w="6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B740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0000" w:rsidRPr="00887419" w14:paraId="52408D96" w14:textId="77777777" w:rsidTr="00B74B1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6DF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FC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22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D8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64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BA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5E9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2027 прогноз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88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2028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br/>
              <w:t>прогноз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F7CB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2029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br/>
              <w:t>прогноз</w:t>
            </w:r>
          </w:p>
        </w:tc>
      </w:tr>
      <w:tr w:rsidR="00000000" w:rsidRPr="00887419" w14:paraId="4580E854" w14:textId="77777777" w:rsidTr="00B74B1F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9F2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8C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79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7 746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68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7 577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DE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7 409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C6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7 237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A4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7 066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41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6 894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202C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 </w:t>
            </w:r>
          </w:p>
        </w:tc>
      </w:tr>
      <w:tr w:rsidR="00000000" w:rsidRPr="00887419" w14:paraId="38A06A80" w14:textId="77777777" w:rsidTr="00B74B1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12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38.1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92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Численность населения на начало года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5F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7 833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9A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7 659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E7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7 495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E7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7 322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CB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7 151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95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6 980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CD05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6 807</w:t>
            </w:r>
          </w:p>
        </w:tc>
      </w:tr>
      <w:tr w:rsidR="00000000" w:rsidRPr="00887419" w14:paraId="36F321E0" w14:textId="77777777" w:rsidTr="00B74B1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76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38.2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E0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Численность родившихся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FE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3D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77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24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1C6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B0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CE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1D27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88</w:t>
            </w:r>
          </w:p>
        </w:tc>
      </w:tr>
      <w:tr w:rsidR="00000000" w:rsidRPr="00887419" w14:paraId="74C4DF73" w14:textId="77777777" w:rsidTr="00B74B1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CA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38.3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00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Численность умерших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29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8A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76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F6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EB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D6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9AD2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164</w:t>
            </w:r>
          </w:p>
        </w:tc>
      </w:tr>
      <w:tr w:rsidR="00000000" w:rsidRPr="00887419" w14:paraId="73CCF060" w14:textId="77777777" w:rsidTr="00B74B1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2BA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38.4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64C" w14:textId="3735E773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Естественный прирост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(+),</w:t>
            </w:r>
            <w:r w:rsidR="00B74B1F"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убыль (-)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70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-87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41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99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00E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9D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6F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63D5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-76</w:t>
            </w:r>
          </w:p>
        </w:tc>
      </w:tr>
      <w:tr w:rsidR="00000000" w:rsidRPr="00887419" w14:paraId="43B65AD0" w14:textId="77777777" w:rsidTr="00B74B1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52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38.5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01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Численность прибывших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BC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358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F2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312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39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318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94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322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B6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68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328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2DA8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330</w:t>
            </w:r>
          </w:p>
        </w:tc>
      </w:tr>
      <w:tr w:rsidR="00000000" w:rsidRPr="00887419" w14:paraId="704525D4" w14:textId="77777777" w:rsidTr="00B74B1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B5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38.6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53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Численность убывших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3F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445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38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420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11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424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83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422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23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9F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427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E4B8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429</w:t>
            </w:r>
          </w:p>
        </w:tc>
      </w:tr>
      <w:tr w:rsidR="00000000" w:rsidRPr="00887419" w14:paraId="33E89ACA" w14:textId="77777777" w:rsidTr="00B74B1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C6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38.7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4F4" w14:textId="4816380B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Миграционный прирост</w:t>
            </w:r>
            <w:r w:rsidR="000C51C6"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(+),</w:t>
            </w:r>
            <w:r w:rsidR="00B74B1F"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lastRenderedPageBreak/>
              <w:t>убыль</w:t>
            </w:r>
            <w:r w:rsidR="000C51C6"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(-)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72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lastRenderedPageBreak/>
              <w:t>-87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04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-108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A4D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-106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DE0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FA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D9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AC5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-99</w:t>
            </w:r>
          </w:p>
        </w:tc>
      </w:tr>
    </w:tbl>
    <w:p w14:paraId="7D8703BB" w14:textId="77777777" w:rsidR="00000000" w:rsidRPr="002D72B7" w:rsidRDefault="00887419" w:rsidP="002D72B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p w14:paraId="2BC0E630" w14:textId="77777777" w:rsidR="000C51C6" w:rsidRDefault="000C51C6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</w:pPr>
    </w:p>
    <w:p w14:paraId="0D4999C0" w14:textId="2CD969E9" w:rsidR="00000000" w:rsidRPr="002D72B7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I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X. Энергосбережение и пов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ышение энергетической эффективности</w:t>
      </w:r>
    </w:p>
    <w:p w14:paraId="5B9C1DBC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</w:p>
    <w:p w14:paraId="641229C7" w14:textId="0FC5C743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14:paraId="27D9ACB5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Удельная величина потребления энергетических ресурсов: тепловой энергии, холо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дной воды установлена по нормативам, в связи с тем, что в многоквартирных домах отсутствуют коллективные приборы учета. </w:t>
      </w:r>
    </w:p>
    <w:p w14:paraId="64C3676E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Численность, проживающих в многоквартирных домах (МКД) составляет 326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человек. Общая площадь жилых помещений 4933,9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кв.м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>. В 2024 умень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шилась общая площадь жилых помещений в МКД, в связи с проведением сверки с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Россреестром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>.</w:t>
      </w:r>
    </w:p>
    <w:p w14:paraId="3763D256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Для расчета показателя данные по потреблению электрической энергии предоставлены ресурсоснабжающей организацией ПАО «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Красноярскэнергосбыт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». </w:t>
      </w:r>
    </w:p>
    <w:p w14:paraId="0B88EBE3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 Увеличение потребления эл</w:t>
      </w:r>
      <w:r w:rsidRPr="002D72B7">
        <w:rPr>
          <w:rFonts w:ascii="Times New Roman" w:hAnsi="Times New Roman"/>
          <w:sz w:val="24"/>
          <w:szCs w:val="24"/>
          <w:u w:color="FF0000"/>
        </w:rPr>
        <w:t>ектрической энергии на 1 проживающего по сравнению с 2023 годом произошло в связи с тем, что жителям района не оказывается услуга по горячему водоснабжению, подогрев воды производится индивидуальными водонагревателями, работающими от электрической энергии.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</w:t>
      </w:r>
    </w:p>
    <w:p w14:paraId="1ECE1140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Потребление тепловой энергии на 1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кв.м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. общей площади в 2024г увеличилось в связи с уточнением общей площади жилых помещений в МКД. В период 2025-2027гг. увеличение тепловых мощностей и количества потребителей данного ресурса не планируется. </w:t>
      </w:r>
      <w:r w:rsidRPr="002D72B7">
        <w:rPr>
          <w:rFonts w:ascii="Times New Roman" w:hAnsi="Times New Roman"/>
          <w:sz w:val="24"/>
          <w:szCs w:val="24"/>
          <w:u w:color="FF0000"/>
        </w:rPr>
        <w:tab/>
        <w:t>Потребление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холодной воды на 1 проживающего в 2024 году уменьшилось по сравнению с 2023 годом в связи с тем, что пользователями были устранены нарушения (произведена поверка и замена приборов учета).                                                                   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                        </w:t>
      </w:r>
    </w:p>
    <w:p w14:paraId="6278770D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ab/>
        <w:t>Газоснабжение и горячее водоснабжение на территории района отсутствуют.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280"/>
        <w:gridCol w:w="1100"/>
        <w:gridCol w:w="1100"/>
        <w:gridCol w:w="1060"/>
        <w:gridCol w:w="1080"/>
        <w:gridCol w:w="1160"/>
      </w:tblGrid>
      <w:tr w:rsidR="00000000" w:rsidRPr="00887419" w14:paraId="28B0106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0D6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26E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0000" w:rsidRPr="00887419" w14:paraId="4553D312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13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0A0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5180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515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EC3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B0A3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000000" w:rsidRPr="00887419" w14:paraId="2C5E76C2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3361" w14:textId="1770E21A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39.1. Потребление электрической</w:t>
            </w: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 энергии, кВт·</w:t>
            </w:r>
            <w:r w:rsidR="000C51C6"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ч на 1 проживающего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20E1E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1 409,20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87810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1 419,06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6E049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1 419,06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B227D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1 419,06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AF0BA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1 419,06</w:t>
            </w:r>
          </w:p>
        </w:tc>
      </w:tr>
      <w:tr w:rsidR="00000000" w:rsidRPr="00887419" w14:paraId="70174E92" w14:textId="7777777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4B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объем потребления электрической энергии в многоквартирных домах, </w:t>
            </w:r>
            <w:proofErr w:type="spellStart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кВтч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CC0C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443 897,00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2DA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462 615,00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F7F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462 615,00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EF92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462 615,00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240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462 615,00</w:t>
            </w:r>
          </w:p>
        </w:tc>
      </w:tr>
      <w:tr w:rsidR="00000000" w:rsidRPr="00887419" w14:paraId="4A2A57AD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1BD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число проживающих в многоквартирных домах, которы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м отпущен соответствующий энергетический ресурс,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069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02E7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7F7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C17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D10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326</w:t>
            </w:r>
          </w:p>
        </w:tc>
      </w:tr>
      <w:tr w:rsidR="00000000" w:rsidRPr="00887419" w14:paraId="73996A45" w14:textId="7777777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DC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39.2. Потребление тепловой энергии, Гкал на 1 кв. метр общей площади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84F55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C4ADB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4A597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58203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D80DE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0,44</w:t>
            </w:r>
          </w:p>
        </w:tc>
      </w:tr>
      <w:tr w:rsidR="00000000" w:rsidRPr="00887419" w14:paraId="70D3F4EC" w14:textId="7777777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CAB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lastRenderedPageBreak/>
              <w:t>объем потребленной тепловой энергии в многоквартирных домах, Гкал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56E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2 161,98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B62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2 161,98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048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2 161,98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8DA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2 161,98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E96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2 161,98</w:t>
            </w:r>
          </w:p>
        </w:tc>
      </w:tr>
      <w:tr w:rsidR="00000000" w:rsidRPr="00887419" w14:paraId="15B277E3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024" w14:textId="609ECCB2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общая площадь жилых помещений в многоквартирных домах,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 кв.</w:t>
            </w:r>
            <w:r w:rsidR="000C51C6"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A290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5 304,00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534C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4 933,90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AA5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4 933,90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92F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4 933,90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91C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4 933,90</w:t>
            </w:r>
          </w:p>
        </w:tc>
      </w:tr>
      <w:tr w:rsidR="00000000" w:rsidRPr="00887419" w14:paraId="7DA05C1C" w14:textId="7777777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F01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39.3. Потребление горячей воды, куб. метров на 1 проживающего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E09E2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1F814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AE5AA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D9844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B5559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</w:tr>
      <w:tr w:rsidR="00000000" w:rsidRPr="00887419" w14:paraId="7501D335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A678" w14:textId="328B81C5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объем потребления горяч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ей воды в многоквартирных домах, куб.</w:t>
            </w:r>
            <w:r w:rsidR="00B74B1F"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0CA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524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934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672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252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</w:tr>
      <w:tr w:rsidR="00000000" w:rsidRPr="00887419" w14:paraId="73204A1C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7F2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9FDF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B29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233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CEB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1867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</w:t>
            </w:r>
          </w:p>
        </w:tc>
      </w:tr>
      <w:tr w:rsidR="00000000" w:rsidRPr="00887419" w14:paraId="4D38BB3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0DE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39.4. Потребление холодной воды, куб. метров на 1 проживающего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CB43B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50,27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F2B98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48,31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C419E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48,31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23878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48,31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13AF4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48,31</w:t>
            </w:r>
          </w:p>
        </w:tc>
      </w:tr>
      <w:tr w:rsidR="00000000" w:rsidRPr="00887419" w14:paraId="717F723B" w14:textId="7777777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D84" w14:textId="2CFE35AA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объем потребления холодной воды в многоквартирных домах, куб.</w:t>
            </w:r>
            <w:r w:rsidR="00B74B1F"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2DB5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15 834,00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C5B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15 750,00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9B2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15 750,00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246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15 750,00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647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15 750,00</w:t>
            </w:r>
          </w:p>
        </w:tc>
      </w:tr>
      <w:tr w:rsidR="00000000" w:rsidRPr="00887419" w14:paraId="186C8A82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353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B16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A2E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440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22B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E1C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326</w:t>
            </w:r>
          </w:p>
        </w:tc>
      </w:tr>
    </w:tbl>
    <w:p w14:paraId="1DB1354D" w14:textId="77777777" w:rsidR="000C51C6" w:rsidRDefault="000C51C6" w:rsidP="000C51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p w14:paraId="27D29A28" w14:textId="5F3C0C50" w:rsidR="00000000" w:rsidRPr="002D72B7" w:rsidRDefault="00887419" w:rsidP="000C51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14:paraId="61AC0038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Среднегодовая численность постоянного населения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на 2024 г. составля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ет 7577 человек. Площадь учреждений 38623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кв.м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>.</w:t>
      </w:r>
    </w:p>
    <w:p w14:paraId="1E914A06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 xml:space="preserve">Увеличение потребления электрической энергии 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муниципальными бюджетными учреждениями в 2024 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 xml:space="preserve"> до 437.73 </w:t>
      </w:r>
      <w:proofErr w:type="spellStart"/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кВт.ч</w:t>
      </w:r>
      <w:proofErr w:type="spellEnd"/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 xml:space="preserve"> в расчете на одного жителя района произошло в связи с тем, что из-за отсутствием горячего водоснабже</w:t>
      </w:r>
      <w:r w:rsidRPr="002D72B7">
        <w:rPr>
          <w:rFonts w:ascii="Times New Roman" w:hAnsi="Times New Roman"/>
          <w:color w:val="000000"/>
          <w:sz w:val="24"/>
          <w:szCs w:val="24"/>
          <w:u w:color="FF0000"/>
        </w:rPr>
        <w:t>нию на территории района подогрев воды производится индивидуальными водонагревателями, работающими от электрической энергии.</w:t>
      </w:r>
    </w:p>
    <w:p w14:paraId="46D18E50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На период 2025-2027 гг. объем потребления электрической энергии изменится в связи с изменением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 </w:t>
      </w:r>
      <w:r w:rsidRPr="002D72B7">
        <w:rPr>
          <w:rFonts w:ascii="Times New Roman" w:hAnsi="Times New Roman"/>
          <w:sz w:val="24"/>
          <w:szCs w:val="24"/>
          <w:u w:color="FF0000"/>
        </w:rPr>
        <w:t>среднегодовой численности постоянног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о населения. </w:t>
      </w:r>
    </w:p>
    <w:p w14:paraId="704D6D80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Потребление тепловой энергии в 2024 году по сравнению с 2023 годом снизилось за счет эффективного использования коммунальных ресурсов и установке теплосчетчиков и составило 0,12 Гкал на 1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кв.м.общей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площади муниципальных учреждений.</w:t>
      </w:r>
    </w:p>
    <w:p w14:paraId="656EAA8E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Прогнозир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уемые показатели на 2025-2027 годы останутся на уровне 2024 года, так как не планируется увеличение тепловых мощностей и количества потребителей данного ресурса.  </w:t>
      </w:r>
      <w:r w:rsidRPr="002D72B7">
        <w:rPr>
          <w:rFonts w:ascii="Times New Roman" w:hAnsi="Times New Roman"/>
          <w:sz w:val="24"/>
          <w:szCs w:val="24"/>
          <w:u w:color="FF0000"/>
        </w:rPr>
        <w:tab/>
        <w:t xml:space="preserve">Потребление холодной воды в 2024 году уменьшился по сравнению с 2023 </w:t>
      </w:r>
      <w:r w:rsidRPr="002D72B7">
        <w:rPr>
          <w:rFonts w:ascii="Times New Roman" w:hAnsi="Times New Roman"/>
          <w:sz w:val="24"/>
          <w:szCs w:val="24"/>
          <w:u w:color="FF0000"/>
        </w:rPr>
        <w:lastRenderedPageBreak/>
        <w:t>годом в связи с ликвида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цией МБУК «ЦКС» п. Чайковский и составило 0,9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куб.м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>. на одного жителя.</w:t>
      </w:r>
    </w:p>
    <w:p w14:paraId="6191E885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На период 2025-2027гг объем потребления холодной воды изменится в связи с уменьшением среднегодовой численности постоянного населения.</w:t>
      </w:r>
    </w:p>
    <w:p w14:paraId="3592157A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>Газоснабжение и горячее водоснабжение на территор</w:t>
      </w:r>
      <w:r w:rsidRPr="002D72B7">
        <w:rPr>
          <w:rFonts w:ascii="Times New Roman" w:hAnsi="Times New Roman"/>
          <w:sz w:val="24"/>
          <w:szCs w:val="24"/>
          <w:u w:color="FF0000"/>
        </w:rPr>
        <w:t xml:space="preserve">ии района отсутствуют.                      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830"/>
        <w:gridCol w:w="1276"/>
        <w:gridCol w:w="1418"/>
        <w:gridCol w:w="1275"/>
        <w:gridCol w:w="1418"/>
        <w:gridCol w:w="1417"/>
      </w:tblGrid>
      <w:tr w:rsidR="00000000" w:rsidRPr="00887419" w14:paraId="19C90A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70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228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0000" w:rsidRPr="00887419" w14:paraId="7825FC91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28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D86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671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CE3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694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8DD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000000" w:rsidRPr="00887419" w14:paraId="4D997020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3ED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40.1. Потребление электрической энергии, </w:t>
            </w:r>
            <w:proofErr w:type="spellStart"/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кВт·ч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13654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427,91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200E3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437,73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CEE04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447,66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7FC5E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D8509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469,39</w:t>
            </w:r>
          </w:p>
        </w:tc>
      </w:tr>
      <w:tr w:rsidR="00000000" w:rsidRPr="00887419" w14:paraId="72BEDA0C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545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объем потребленной (израсходованной) электрической энергии муниципальными учреждениями, </w:t>
            </w:r>
            <w:proofErr w:type="spellStart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369D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3 314 613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4DF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3 316 687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B2BE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3 316 687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75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3 316 687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8C9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3 316 687</w:t>
            </w:r>
          </w:p>
        </w:tc>
      </w:tr>
      <w:tr w:rsidR="00000000" w:rsidRPr="00887419" w14:paraId="5AC3183D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036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среднегодовая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 численность постоянного населения муниципального, городского округа (муниципального район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0839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9ED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119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5C15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3D1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7 066</w:t>
            </w:r>
          </w:p>
        </w:tc>
      </w:tr>
      <w:tr w:rsidR="00000000" w:rsidRPr="00887419" w14:paraId="7073F86C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76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DA8D3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684EC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A3BD7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A7E0B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64789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0,12</w:t>
            </w:r>
          </w:p>
        </w:tc>
      </w:tr>
      <w:tr w:rsidR="00000000" w:rsidRPr="00887419" w14:paraId="2E636D0C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3BE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B95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4 873,14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8086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4 751,40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4B7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4 751,40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728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4 751,40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EF9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4 751,40</w:t>
            </w:r>
          </w:p>
        </w:tc>
      </w:tr>
      <w:tr w:rsidR="00000000" w:rsidRPr="00887419" w14:paraId="66B06286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3E60" w14:textId="2F5D7F18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общая площадь муниципальных учреждений, кв.</w:t>
            </w:r>
            <w:r w:rsidR="00B74B1F"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BA9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38 623,00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8461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38 623,00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DD5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38 623,00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2B4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38 623,00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40B3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38 623,00</w:t>
            </w:r>
          </w:p>
        </w:tc>
      </w:tr>
      <w:tr w:rsidR="00000000" w:rsidRPr="00887419" w14:paraId="616E151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AB7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40.3. Потребление горячей воды,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7DABB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31AF5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20CCA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59503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67CE9D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0,00</w:t>
            </w:r>
          </w:p>
        </w:tc>
      </w:tr>
      <w:tr w:rsidR="00000000" w:rsidRPr="00887419" w14:paraId="6E4C2975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9B5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объем потребленной (израсходованной) горячей воды муниципальными учреждения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ми, </w:t>
            </w:r>
            <w:proofErr w:type="spellStart"/>
            <w:proofErr w:type="gramStart"/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760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028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D028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639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DDE7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0,00</w:t>
            </w:r>
          </w:p>
        </w:tc>
      </w:tr>
      <w:tr w:rsidR="00000000" w:rsidRPr="00887419" w14:paraId="40716C01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707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среднегодовая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численность постоянного населения муниципального, городского округа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lastRenderedPageBreak/>
              <w:t>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E5A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lastRenderedPageBreak/>
              <w:t>7 746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9F0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3F8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63D0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6D5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7 066</w:t>
            </w:r>
          </w:p>
        </w:tc>
      </w:tr>
      <w:tr w:rsidR="00000000" w:rsidRPr="00887419" w14:paraId="5817845A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4950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40.4. Потребление холодной воды,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8E71E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B5989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AADC1A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CA9AB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9E9DC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0,97</w:t>
            </w:r>
          </w:p>
        </w:tc>
      </w:tr>
      <w:tr w:rsidR="00000000" w:rsidRPr="00887419" w14:paraId="06EACA69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5F38" w14:textId="30E1885F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объем потр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ебленной (израсходованной) холодной воды муниципальными учреждениями, куб.</w:t>
            </w:r>
            <w:r w:rsidR="00B74B1F"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97B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8 782,93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614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6 848,23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303E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6 848,23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7963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6 848,23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B40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6 848,23</w:t>
            </w:r>
          </w:p>
        </w:tc>
      </w:tr>
      <w:tr w:rsidR="00000000" w:rsidRPr="00887419" w14:paraId="243CA428" w14:textId="7777777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029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среднегодовая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FD09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254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6C5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CF6B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7 </w:t>
            </w: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3435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>7 066</w:t>
            </w:r>
          </w:p>
        </w:tc>
      </w:tr>
    </w:tbl>
    <w:p w14:paraId="45725046" w14:textId="77777777" w:rsidR="00000000" w:rsidRPr="002D72B7" w:rsidRDefault="00887419" w:rsidP="00B74B1F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hAnsi="Times New Roman"/>
          <w:sz w:val="24"/>
          <w:szCs w:val="24"/>
          <w:u w:color="FF0000"/>
        </w:rPr>
      </w:pPr>
    </w:p>
    <w:p w14:paraId="69A60B09" w14:textId="52A5C065" w:rsidR="00000000" w:rsidRPr="002D72B7" w:rsidRDefault="00887419" w:rsidP="00B74B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X. Независимая оценка</w:t>
      </w:r>
    </w:p>
    <w:p w14:paraId="2202539B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</w:p>
    <w:p w14:paraId="4E4E1409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 xml:space="preserve"> в информационно-телекоммуникационной сети 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«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Интернет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») (</w:t>
      </w:r>
      <w:r w:rsidRPr="002D72B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при наличии)</w:t>
      </w:r>
    </w:p>
    <w:p w14:paraId="246375FD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p w14:paraId="16B220C9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  <w:r w:rsidRPr="002D72B7">
        <w:rPr>
          <w:rFonts w:ascii="Times New Roman" w:hAnsi="Times New Roman"/>
          <w:sz w:val="24"/>
          <w:szCs w:val="24"/>
          <w:u w:color="FF0000"/>
        </w:rPr>
        <w:t xml:space="preserve">Независимая оценка качества условий оказания услуг муниципальными учреждениями образования и культуры </w:t>
      </w:r>
      <w:proofErr w:type="spellStart"/>
      <w:r w:rsidRPr="002D72B7">
        <w:rPr>
          <w:rFonts w:ascii="Times New Roman" w:hAnsi="Times New Roman"/>
          <w:sz w:val="24"/>
          <w:szCs w:val="24"/>
          <w:u w:color="FF0000"/>
        </w:rPr>
        <w:t>Боготольского</w:t>
      </w:r>
      <w:proofErr w:type="spellEnd"/>
      <w:r w:rsidRPr="002D72B7">
        <w:rPr>
          <w:rFonts w:ascii="Times New Roman" w:hAnsi="Times New Roman"/>
          <w:sz w:val="24"/>
          <w:szCs w:val="24"/>
          <w:u w:color="FF0000"/>
        </w:rPr>
        <w:t xml:space="preserve"> района в 2024 году составила 86,5, в том числе:</w:t>
      </w:r>
    </w:p>
    <w:p w14:paraId="4AA0897F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sz w:val="24"/>
          <w:szCs w:val="24"/>
          <w:u w:color="FF0000"/>
        </w:rPr>
        <w:t>В области культуры: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812"/>
        <w:gridCol w:w="3118"/>
      </w:tblGrid>
      <w:tr w:rsidR="00000000" w:rsidRPr="00887419" w14:paraId="05A527AB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C1C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№ 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207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3DE54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Значение показателя оценки качества по организации</w:t>
            </w:r>
          </w:p>
        </w:tc>
      </w:tr>
      <w:tr w:rsidR="00000000" w:rsidRPr="00887419" w14:paraId="2AB522A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7502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5CF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В среднем по отрасли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7F5FF" w14:textId="77777777" w:rsidR="00000000" w:rsidRPr="00887419" w:rsidRDefault="00887419" w:rsidP="00B74B1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86,5</w:t>
            </w:r>
          </w:p>
        </w:tc>
      </w:tr>
      <w:tr w:rsidR="00000000" w:rsidRPr="00887419" w14:paraId="01AB0CD3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96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0A1" w14:textId="77777777" w:rsidR="00000000" w:rsidRPr="00887419" w:rsidRDefault="00887419" w:rsidP="002D72B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Муниципальное бюджетное дополнительного образования «Детска</w:t>
            </w: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я музыкальная школа» </w:t>
            </w:r>
            <w:proofErr w:type="spellStart"/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Боготольского</w:t>
            </w:r>
            <w:proofErr w:type="spellEnd"/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района (ИНН 2444300899)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FA16B" w14:textId="77777777" w:rsidR="00000000" w:rsidRPr="00887419" w:rsidRDefault="00887419" w:rsidP="00B74B1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887419">
              <w:rPr>
                <w:rFonts w:ascii="Times New Roman" w:hAnsi="Times New Roman"/>
                <w:sz w:val="24"/>
                <w:szCs w:val="24"/>
                <w:u w:color="FF0000"/>
              </w:rPr>
              <w:t>86,5</w:t>
            </w:r>
          </w:p>
          <w:p w14:paraId="225067CE" w14:textId="77777777" w:rsidR="00000000" w:rsidRPr="00887419" w:rsidRDefault="00887419" w:rsidP="00B74B1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FF0000"/>
              </w:rPr>
            </w:pPr>
          </w:p>
        </w:tc>
      </w:tr>
    </w:tbl>
    <w:p w14:paraId="1A17BCF7" w14:textId="77777777" w:rsidR="00000000" w:rsidRPr="002D72B7" w:rsidRDefault="00887419" w:rsidP="002D72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color="FF0000"/>
        </w:rPr>
      </w:pPr>
      <w:r w:rsidRPr="002D72B7">
        <w:rPr>
          <w:rFonts w:ascii="Times New Roman" w:hAnsi="Times New Roman"/>
          <w:b/>
          <w:bCs/>
          <w:sz w:val="24"/>
          <w:szCs w:val="24"/>
          <w:u w:color="FF0000"/>
        </w:rPr>
        <w:t xml:space="preserve">В области образования независимая оценка </w:t>
      </w:r>
      <w:r w:rsidRPr="002D72B7">
        <w:rPr>
          <w:rFonts w:ascii="Times New Roman" w:hAnsi="Times New Roman"/>
          <w:sz w:val="24"/>
          <w:szCs w:val="24"/>
          <w:u w:color="FF0000"/>
        </w:rPr>
        <w:t>качества условий оказания услуг в 2024 году не проводилась.</w:t>
      </w:r>
    </w:p>
    <w:p w14:paraId="1BB9200F" w14:textId="77777777" w:rsidR="00000000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p w14:paraId="280F9F24" w14:textId="77777777" w:rsidR="00887419" w:rsidRPr="002D72B7" w:rsidRDefault="00887419" w:rsidP="002D72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FF0000"/>
        </w:rPr>
      </w:pPr>
    </w:p>
    <w:sectPr w:rsidR="00887419" w:rsidRPr="002D72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DB1"/>
    <w:multiLevelType w:val="singleLevel"/>
    <w:tmpl w:val="50121CB2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ED7"/>
    <w:rsid w:val="000C51C6"/>
    <w:rsid w:val="002C2990"/>
    <w:rsid w:val="002D72B7"/>
    <w:rsid w:val="00527DF6"/>
    <w:rsid w:val="00707ED7"/>
    <w:rsid w:val="00887419"/>
    <w:rsid w:val="00931677"/>
    <w:rsid w:val="00937416"/>
    <w:rsid w:val="00AB4CE9"/>
    <w:rsid w:val="00B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04E22"/>
  <w14:defaultImageDpi w14:val="0"/>
  <w15:docId w15:val="{5373B6E3-8290-47DA-A490-7045FBE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21</Pages>
  <Words>7747</Words>
  <Characters>44163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2025-04-25T02:09:00Z</dcterms:created>
  <dcterms:modified xsi:type="dcterms:W3CDTF">2025-04-25T10:00:00Z</dcterms:modified>
</cp:coreProperties>
</file>