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DA" w:rsidRPr="00566BE8" w:rsidRDefault="00013BDA" w:rsidP="00013BDA">
      <w:pPr>
        <w:shd w:val="clear" w:color="auto" w:fill="FFFFFF"/>
        <w:spacing w:before="600" w:after="300" w:line="312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000000"/>
          <w:sz w:val="38"/>
          <w:szCs w:val="38"/>
          <w:lang w:eastAsia="ru-RU"/>
        </w:rPr>
      </w:pPr>
      <w:r w:rsidRPr="00566BE8">
        <w:rPr>
          <w:rFonts w:ascii="Trebuchet MS" w:eastAsia="Times New Roman" w:hAnsi="Trebuchet MS" w:cs="Times New Roman"/>
          <w:b/>
          <w:bCs/>
          <w:color w:val="000000"/>
          <w:sz w:val="38"/>
          <w:szCs w:val="38"/>
          <w:lang w:eastAsia="ru-RU"/>
        </w:rPr>
        <w:t>Патент с 2025 года: изменения</w:t>
      </w:r>
    </w:p>
    <w:p w:rsidR="00013BDA" w:rsidRPr="00566BE8" w:rsidRDefault="00013BDA" w:rsidP="00013BDA">
      <w:pP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66BE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Основное новшество по ПСН-2025 связано со сроком уплаты патента. </w:t>
      </w:r>
    </w:p>
    <w:p w:rsidR="00013BDA" w:rsidRPr="00566BE8" w:rsidRDefault="00013BDA" w:rsidP="00013BDA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66BE8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C0937E9" wp14:editId="48B2BD3C">
            <wp:extent cx="6543675" cy="1662670"/>
            <wp:effectExtent l="0" t="0" r="0" b="0"/>
            <wp:docPr id="1" name="Рисунок 1" descr="https://nalog-nalog.ru/files/editor/images/0824/27/NN-66-pic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nalog-nalog.ru/files/editor/images/0824/27/NN-66-pic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66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BDA" w:rsidRPr="00566BE8" w:rsidRDefault="00013BDA" w:rsidP="00013BDA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66BE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Следующее новшество затрагивает предпринимателей, которые занимаются производством или продажей изделий из серебра — с 01.01.2025 им можно применять ПСН (ст. 346.43 НК РФ в ред. Федерального закона от 23.03.2024 № 49-ФЗ).</w:t>
      </w:r>
    </w:p>
    <w:p w:rsidR="00013BDA" w:rsidRPr="00566BE8" w:rsidRDefault="00013BDA" w:rsidP="00013BDA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66BE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Важным известием также является продление до 01.01.2027 права регионов вводить на своей территории налоговые каникулы </w:t>
      </w:r>
      <w:proofErr w:type="gramStart"/>
      <w:r w:rsidRPr="00566BE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для</w:t>
      </w:r>
      <w:proofErr w:type="gramEnd"/>
      <w:r w:rsidRPr="00566BE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вновь зарегистрированных ИП (в т. ч. применяющих ПСН). Ранее предполагалось, что действие этой льготы закончится 01.01.2025 (ст. 5 Федерального закона № 259-ФЗ).</w:t>
      </w:r>
    </w:p>
    <w:p w:rsidR="00013BDA" w:rsidRPr="00566BE8" w:rsidRDefault="00013BDA" w:rsidP="00C14AC1">
      <w:pPr>
        <w:pBdr>
          <w:top w:val="single" w:sz="6" w:space="15" w:color="CF0101"/>
          <w:left w:val="single" w:sz="6" w:space="15" w:color="CF0101"/>
          <w:bottom w:val="single" w:sz="6" w:space="15" w:color="CF0101"/>
          <w:right w:val="single" w:sz="6" w:space="15" w:color="CF0101"/>
        </w:pBd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 w:cs="Times New Roman"/>
          <w:color w:val="CF0101"/>
          <w:sz w:val="24"/>
          <w:szCs w:val="24"/>
          <w:lang w:eastAsia="ru-RU"/>
        </w:rPr>
      </w:pPr>
      <w:r w:rsidRPr="00566BE8">
        <w:rPr>
          <w:rFonts w:ascii="Trebuchet MS" w:eastAsia="Times New Roman" w:hAnsi="Trebuchet MS" w:cs="Times New Roman"/>
          <w:b/>
          <w:bCs/>
          <w:color w:val="CF0101"/>
          <w:sz w:val="24"/>
          <w:szCs w:val="24"/>
          <w:lang w:eastAsia="ru-RU"/>
        </w:rPr>
        <w:t>ВАЖНО!</w:t>
      </w:r>
      <w:r w:rsidRPr="00566BE8">
        <w:rPr>
          <w:rFonts w:ascii="Trebuchet MS" w:eastAsia="Times New Roman" w:hAnsi="Trebuchet MS" w:cs="Times New Roman"/>
          <w:color w:val="CF0101"/>
          <w:sz w:val="24"/>
          <w:szCs w:val="24"/>
          <w:lang w:eastAsia="ru-RU"/>
        </w:rPr>
        <w:t xml:space="preserve"> Самым неприятным нововведением для предпринимателей стало то, что теперь патент нельзя будет купить на следующий календарный год, если в текущем году доходы по ПСН превысят лимит в 60 </w:t>
      </w:r>
      <w:proofErr w:type="gramStart"/>
      <w:r w:rsidRPr="00566BE8">
        <w:rPr>
          <w:rFonts w:ascii="Trebuchet MS" w:eastAsia="Times New Roman" w:hAnsi="Trebuchet MS" w:cs="Times New Roman"/>
          <w:color w:val="CF0101"/>
          <w:sz w:val="24"/>
          <w:szCs w:val="24"/>
          <w:lang w:eastAsia="ru-RU"/>
        </w:rPr>
        <w:t>млн</w:t>
      </w:r>
      <w:proofErr w:type="gramEnd"/>
      <w:r w:rsidRPr="00566BE8">
        <w:rPr>
          <w:rFonts w:ascii="Trebuchet MS" w:eastAsia="Times New Roman" w:hAnsi="Trebuchet MS" w:cs="Times New Roman"/>
          <w:color w:val="CF0101"/>
          <w:sz w:val="24"/>
          <w:szCs w:val="24"/>
          <w:lang w:eastAsia="ru-RU"/>
        </w:rPr>
        <w:t xml:space="preserve"> руб. Такова новая редакция подп. 1 п. 6 ст. 346.45 НК РФ. Напомним, что ранее п. 8 данной статьи разрешал применять патент не ранее следующего года с момента утраты права на него. Данное правило будет действовать, если лимит будет превышен и при </w:t>
      </w:r>
      <w:proofErr w:type="spellStart"/>
      <w:r w:rsidRPr="00566BE8">
        <w:rPr>
          <w:rFonts w:ascii="Trebuchet MS" w:eastAsia="Times New Roman" w:hAnsi="Trebuchet MS" w:cs="Times New Roman"/>
          <w:color w:val="CF0101"/>
          <w:sz w:val="24"/>
          <w:szCs w:val="24"/>
          <w:lang w:eastAsia="ru-RU"/>
        </w:rPr>
        <w:t>сомещении</w:t>
      </w:r>
      <w:proofErr w:type="spellEnd"/>
      <w:r w:rsidRPr="00566BE8">
        <w:rPr>
          <w:rFonts w:ascii="Trebuchet MS" w:eastAsia="Times New Roman" w:hAnsi="Trebuchet MS" w:cs="Times New Roman"/>
          <w:color w:val="CF0101"/>
          <w:sz w:val="24"/>
          <w:szCs w:val="24"/>
          <w:lang w:eastAsia="ru-RU"/>
        </w:rPr>
        <w:t xml:space="preserve"> УСН и ПСН. Получается, что со следующего года после превышения лимита по доходам предприниматели </w:t>
      </w:r>
      <w:proofErr w:type="gramStart"/>
      <w:r w:rsidRPr="00566BE8">
        <w:rPr>
          <w:rFonts w:ascii="Trebuchet MS" w:eastAsia="Times New Roman" w:hAnsi="Trebuchet MS" w:cs="Times New Roman"/>
          <w:color w:val="CF0101"/>
          <w:sz w:val="24"/>
          <w:szCs w:val="24"/>
          <w:lang w:eastAsia="ru-RU"/>
        </w:rPr>
        <w:t>вынуждены</w:t>
      </w:r>
      <w:proofErr w:type="gramEnd"/>
      <w:r w:rsidRPr="00566BE8">
        <w:rPr>
          <w:rFonts w:ascii="Trebuchet MS" w:eastAsia="Times New Roman" w:hAnsi="Trebuchet MS" w:cs="Times New Roman"/>
          <w:color w:val="CF0101"/>
          <w:sz w:val="24"/>
          <w:szCs w:val="24"/>
          <w:lang w:eastAsia="ru-RU"/>
        </w:rPr>
        <w:t xml:space="preserve"> будут работать с НДС независимо от того, какой режим применяют - УСН или ОСНО. </w:t>
      </w:r>
    </w:p>
    <w:p w:rsidR="004924A8" w:rsidRDefault="00013BDA" w:rsidP="004924A8">
      <w:pP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66BE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Об изменениях регионального законодательства субъектов РФ в части применения ПСН необходимо узнавать на сайтах региональных властей. </w:t>
      </w:r>
      <w:bookmarkStart w:id="0" w:name="_Toc175257832"/>
      <w:bookmarkStart w:id="1" w:name="_Toc175259929"/>
      <w:bookmarkStart w:id="2" w:name="_Toc175260035"/>
      <w:bookmarkStart w:id="3" w:name="_Toc175260202"/>
      <w:bookmarkEnd w:id="0"/>
      <w:bookmarkEnd w:id="1"/>
      <w:bookmarkEnd w:id="2"/>
      <w:bookmarkEnd w:id="3"/>
    </w:p>
    <w:p w:rsidR="00013BDA" w:rsidRPr="00566BE8" w:rsidRDefault="00013BDA" w:rsidP="004924A8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8"/>
          <w:szCs w:val="38"/>
          <w:lang w:eastAsia="ru-RU"/>
        </w:rPr>
      </w:pPr>
      <w:r w:rsidRPr="00566BE8">
        <w:rPr>
          <w:rFonts w:ascii="Trebuchet MS" w:eastAsia="Times New Roman" w:hAnsi="Trebuchet MS" w:cs="Times New Roman"/>
          <w:b/>
          <w:bCs/>
          <w:color w:val="000000"/>
          <w:sz w:val="38"/>
          <w:szCs w:val="38"/>
          <w:lang w:eastAsia="ru-RU"/>
        </w:rPr>
        <w:t>Разъяснения ФНС по «патентным» вопросам</w:t>
      </w:r>
    </w:p>
    <w:p w:rsidR="00013BDA" w:rsidRPr="00566BE8" w:rsidRDefault="00013BDA" w:rsidP="00471519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66BE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Федеральная налоговая служба продолжает уточнять вопросы, связанные с патентной деятельностью. На этот раз их разъяснения носят позитивный характер. Расскажем о них подробнее. </w:t>
      </w:r>
    </w:p>
    <w:p w:rsidR="00013BDA" w:rsidRPr="00566BE8" w:rsidRDefault="00013BDA" w:rsidP="00013BDA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66BE8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C128D9A" wp14:editId="3ECF0884">
            <wp:extent cx="6335007" cy="3272666"/>
            <wp:effectExtent l="0" t="0" r="0" b="4445"/>
            <wp:docPr id="2" name="Рисунок 2" descr="https://nalog-nalog.ru/files/editor/images/0824/27/NN-66-pic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nalog-nalog.ru/files/editor/images/0824/27/NN-66-pic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990" cy="327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BDA" w:rsidRPr="00566BE8" w:rsidRDefault="00013BDA" w:rsidP="00E573C6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66BE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Другим позитивным разъяснением стало письмо ФНС, в котором налоговики уточнили, что можно начать применять льготу в виде нулевой ставки как с первого дня регистрации в качестве ИП, так и после этой даты. </w:t>
      </w:r>
    </w:p>
    <w:p w:rsidR="00013BDA" w:rsidRPr="00566BE8" w:rsidRDefault="00013BDA" w:rsidP="00013BDA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66BE8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78672F1" wp14:editId="6BF449DC">
            <wp:extent cx="6238875" cy="2674980"/>
            <wp:effectExtent l="0" t="0" r="0" b="0"/>
            <wp:docPr id="3" name="Рисунок 3" descr="https://nalog-nalog.ru/files/editor/images/0824/27/NN-66-pic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nalog-nalog.ru/files/editor/images/0824/27/NN-66-pic-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6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BDA" w:rsidRPr="00566BE8" w:rsidRDefault="00013BDA" w:rsidP="00013BDA">
      <w:pP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66BE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Короткие подсказки по разъяснениям Минфина и ФНС для ИП на ПСН смотрите в таблице: </w:t>
      </w:r>
    </w:p>
    <w:p w:rsidR="00013BDA" w:rsidRPr="00566BE8" w:rsidRDefault="00013BDA" w:rsidP="00013BDA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66BE8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5C2739C" wp14:editId="5FD9F6B8">
            <wp:extent cx="6515100" cy="2954805"/>
            <wp:effectExtent l="0" t="0" r="0" b="0"/>
            <wp:docPr id="4" name="Рисунок 4" descr="https://nalog-nalog.ru/files/editor/images/0824/27/NN-66-pic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nalog-nalog.ru/files/editor/images/0824/27/NN-66-pic-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039" cy="295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BDA" w:rsidRPr="00566BE8" w:rsidRDefault="00013BDA" w:rsidP="00703583">
      <w:pPr>
        <w:shd w:val="clear" w:color="auto" w:fill="FFFFFF"/>
        <w:spacing w:before="600" w:after="300" w:line="312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000000"/>
          <w:sz w:val="38"/>
          <w:szCs w:val="38"/>
          <w:lang w:eastAsia="ru-RU"/>
        </w:rPr>
      </w:pPr>
      <w:bookmarkStart w:id="4" w:name="_Toc175257833"/>
      <w:bookmarkStart w:id="5" w:name="_Toc175259930"/>
      <w:bookmarkStart w:id="6" w:name="_Toc175260036"/>
      <w:bookmarkStart w:id="7" w:name="_Toc175260203"/>
      <w:bookmarkEnd w:id="4"/>
      <w:bookmarkEnd w:id="5"/>
      <w:bookmarkEnd w:id="6"/>
      <w:bookmarkEnd w:id="7"/>
      <w:r w:rsidRPr="00566BE8">
        <w:rPr>
          <w:rFonts w:ascii="Trebuchet MS" w:eastAsia="Times New Roman" w:hAnsi="Trebuchet MS" w:cs="Times New Roman"/>
          <w:b/>
          <w:bCs/>
          <w:color w:val="000000"/>
          <w:sz w:val="38"/>
          <w:szCs w:val="38"/>
          <w:lang w:eastAsia="ru-RU"/>
        </w:rPr>
        <w:t>Итоги</w:t>
      </w:r>
    </w:p>
    <w:p w:rsidR="00013BDA" w:rsidRPr="00566BE8" w:rsidRDefault="00013BDA" w:rsidP="00703583">
      <w:pPr>
        <w:shd w:val="clear" w:color="auto" w:fill="FFFFFF"/>
        <w:spacing w:before="100" w:beforeAutospacing="1"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66BE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Патент для ИП в 2025 году по-прежнему остается привлекательным налоговым режимом. С 2025 года в НК РФ вносится множество поправок, в том числе в части патентной системы налогообложения. Особое внимание необходимо уделить сумме доходов, которые предприниматель планирует получить за 2024 год: если по патенту или по патенту с упрощенкой будет получаться сумма свыше 60 </w:t>
      </w:r>
      <w:proofErr w:type="gramStart"/>
      <w:r w:rsidRPr="00566BE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млн</w:t>
      </w:r>
      <w:proofErr w:type="gramEnd"/>
      <w:r w:rsidRPr="00566BE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руб., то нужно понимать, что на следующий год патент будет недоступен и придется начислять НДС к уплате в бюджет в рамках УСН или ОСНО. Изменения по ПСН нужно отслеживать не только по НК РФ, но и по региональным законам, в которых прописываются особенности применения этой налоговой системы на конкретной территории.</w:t>
      </w:r>
    </w:p>
    <w:p w:rsidR="00013BDA" w:rsidRDefault="00013BDA" w:rsidP="00703583">
      <w:pPr>
        <w:jc w:val="both"/>
      </w:pPr>
    </w:p>
    <w:p w:rsidR="00013BDA" w:rsidRDefault="00013BDA" w:rsidP="00013BDA"/>
    <w:p w:rsidR="00013BDA" w:rsidRDefault="00013BDA" w:rsidP="00013BDA"/>
    <w:p w:rsidR="00013BDA" w:rsidRDefault="00013BDA" w:rsidP="00013BDA"/>
    <w:p w:rsidR="00013BDA" w:rsidRDefault="00013BDA" w:rsidP="00013BDA"/>
    <w:p w:rsidR="00013BDA" w:rsidRDefault="00013BDA" w:rsidP="00013BDA"/>
    <w:p w:rsidR="00013BDA" w:rsidRDefault="00013BDA" w:rsidP="00013BDA"/>
    <w:p w:rsidR="00013BDA" w:rsidRDefault="00013BDA" w:rsidP="00013BDA"/>
    <w:p w:rsidR="00013BDA" w:rsidRDefault="00013BDA" w:rsidP="00013BDA">
      <w:bookmarkStart w:id="8" w:name="_GoBack"/>
      <w:bookmarkEnd w:id="8"/>
    </w:p>
    <w:sectPr w:rsidR="00013BDA" w:rsidSect="00703583">
      <w:pgSz w:w="11906" w:h="16838"/>
      <w:pgMar w:top="142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35979"/>
    <w:multiLevelType w:val="multilevel"/>
    <w:tmpl w:val="98CA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A146A"/>
    <w:multiLevelType w:val="multilevel"/>
    <w:tmpl w:val="D1AE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67441"/>
    <w:multiLevelType w:val="multilevel"/>
    <w:tmpl w:val="7E44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17AD7"/>
    <w:multiLevelType w:val="multilevel"/>
    <w:tmpl w:val="DF3C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2C3083"/>
    <w:multiLevelType w:val="multilevel"/>
    <w:tmpl w:val="87B0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25"/>
    <w:rsid w:val="00013BDA"/>
    <w:rsid w:val="00054919"/>
    <w:rsid w:val="00471519"/>
    <w:rsid w:val="004924A8"/>
    <w:rsid w:val="00614024"/>
    <w:rsid w:val="00703583"/>
    <w:rsid w:val="00972325"/>
    <w:rsid w:val="00C14AC1"/>
    <w:rsid w:val="00E5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Larchenko</dc:creator>
  <cp:keywords/>
  <dc:description/>
  <cp:lastModifiedBy>Larchenko</cp:lastModifiedBy>
  <cp:revision>9</cp:revision>
  <dcterms:created xsi:type="dcterms:W3CDTF">2025-04-04T03:19:00Z</dcterms:created>
  <dcterms:modified xsi:type="dcterms:W3CDTF">2025-04-04T03:23:00Z</dcterms:modified>
</cp:coreProperties>
</file>