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D0" w:rsidRDefault="00A97DD0" w:rsidP="00A97DD0"/>
    <w:p w:rsidR="00A97DD0" w:rsidRDefault="00A97DD0" w:rsidP="00A97DD0">
      <w:pPr>
        <w:shd w:val="clear" w:color="auto" w:fill="FFFFFF"/>
        <w:spacing w:after="300" w:line="312" w:lineRule="atLeast"/>
        <w:jc w:val="both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Законодательное регулирование УСН с 1 января 2025 года</w:t>
      </w:r>
    </w:p>
    <w:p w:rsidR="00A97DD0" w:rsidRDefault="00A97DD0" w:rsidP="00A97DD0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Очередная порция нововведений в Налоговый кодекс, причем достаточно существенных, внесена </w:t>
      </w:r>
      <w:hyperlink r:id="rId6" w:history="1">
        <w:r w:rsidRPr="001331EB">
          <w:rPr>
            <w:rStyle w:val="a3"/>
            <w:rFonts w:ascii="Trebuchet MS" w:eastAsia="Times New Roman" w:hAnsi="Trebuchet MS"/>
            <w:color w:val="auto"/>
            <w:sz w:val="24"/>
            <w:szCs w:val="24"/>
            <w:u w:val="none"/>
            <w:lang w:eastAsia="ru-RU"/>
          </w:rPr>
          <w:t>законом № 176-ФЗ</w:t>
        </w:r>
      </w:hyperlink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, подписанным российским президентом 12 июля 2024 года (который впоследствии был дополнен законом от 29.10.2024 № 362-ФЗ). Из основного:</w:t>
      </w:r>
    </w:p>
    <w:p w:rsidR="00A97DD0" w:rsidRDefault="00A97DD0" w:rsidP="00A97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установление прогрессивной шкалы НДФЛ;</w:t>
      </w:r>
    </w:p>
    <w:p w:rsidR="00A97DD0" w:rsidRDefault="00A97DD0" w:rsidP="00A97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введение налоговой амнистии при дроблении бизнеса;</w:t>
      </w:r>
    </w:p>
    <w:p w:rsidR="00A97DD0" w:rsidRDefault="00A97DD0" w:rsidP="00A97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увеличение стандартной ставки по налогу на прибыль;</w:t>
      </w:r>
    </w:p>
    <w:p w:rsidR="00A97DD0" w:rsidRDefault="00A97DD0" w:rsidP="00A97D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введение туристического налога.</w:t>
      </w:r>
    </w:p>
    <w:p w:rsidR="00A97DD0" w:rsidRDefault="00A97DD0" w:rsidP="00A97DD0">
      <w:pPr>
        <w:pBdr>
          <w:top w:val="single" w:sz="6" w:space="8" w:color="FFA500"/>
          <w:left w:val="single" w:sz="6" w:space="8" w:color="FFA500"/>
          <w:bottom w:val="single" w:sz="6" w:space="8" w:color="FFA500"/>
          <w:right w:val="single" w:sz="6" w:space="8" w:color="FFA500"/>
        </w:pBd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Все новшества, ожидающие российских налогоплательщиков с 2025 года, объединены в </w:t>
      </w:r>
      <w:hyperlink r:id="rId7" w:tgtFrame="_blank" w:history="1">
        <w:r>
          <w:rPr>
            <w:rStyle w:val="a3"/>
            <w:rFonts w:ascii="Trebuchet MS" w:eastAsia="Times New Roman" w:hAnsi="Trebuchet MS"/>
            <w:color w:val="0066CC"/>
            <w:sz w:val="24"/>
            <w:szCs w:val="24"/>
            <w:lang w:eastAsia="ru-RU"/>
          </w:rPr>
          <w:t>специальном обзоре</w:t>
        </w:r>
      </w:hyperlink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от справочно-правовой системы «</w:t>
      </w:r>
      <w:proofErr w:type="spell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КонсультантПлюс</w:t>
      </w:r>
      <w:proofErr w:type="spell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». </w:t>
      </w:r>
    </w:p>
    <w:p w:rsidR="00A97DD0" w:rsidRDefault="00A97DD0" w:rsidP="00967C93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Не обошли своим вниманием законодатели и УСН - с 2025 года изменений для упрощенцев будет множество. Со всеми надо успеть познакомиться и ко всем, а некоторые не совсем приятны, придется привыкнуть. Закон дает на это время, поскольку большинство положений вступит в силу с 1 января 2025 года, часть же затронет переходный период 2024–2025 годов.</w:t>
      </w:r>
    </w:p>
    <w:p w:rsidR="00A97DD0" w:rsidRDefault="00A97DD0" w:rsidP="00967C93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Новые лимиты с 2025 года в целях применения УСН</w:t>
      </w:r>
    </w:p>
    <w:p w:rsidR="00A97DD0" w:rsidRDefault="00A97DD0" w:rsidP="00967C93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С нового года практически все показатели, которым должны соответствовать плательщики УСН, пересмотрены в сторону увеличения. Представим обновленные лимиты по УСН на 2025 год в таблице.</w:t>
      </w:r>
    </w:p>
    <w:p w:rsidR="00A97DD0" w:rsidRDefault="00A97DD0" w:rsidP="00967C93">
      <w:pPr>
        <w:shd w:val="clear" w:color="auto" w:fill="FFFFFF"/>
        <w:spacing w:before="100" w:beforeAutospacing="1" w:after="300" w:line="240" w:lineRule="auto"/>
        <w:jc w:val="center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Лимиты, действующие до и после 1 января 2025 года в целях применения УСН</w:t>
      </w:r>
    </w:p>
    <w:tbl>
      <w:tblPr>
        <w:tblW w:w="0" w:type="auto"/>
        <w:tblBorders>
          <w:top w:val="single" w:sz="12" w:space="0" w:color="6A6A6A"/>
          <w:left w:val="outset" w:sz="6" w:space="0" w:color="auto"/>
          <w:bottom w:val="single" w:sz="12" w:space="0" w:color="6A6A6A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5"/>
        <w:gridCol w:w="4260"/>
        <w:gridCol w:w="2550"/>
      </w:tblGrid>
      <w:tr w:rsidR="00A97DD0" w:rsidTr="00A97DD0">
        <w:tc>
          <w:tcPr>
            <w:tcW w:w="226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26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30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Пороговое значение</w:t>
            </w:r>
          </w:p>
          <w:p w:rsidR="00A97DD0" w:rsidRDefault="00A97DD0">
            <w:pPr>
              <w:spacing w:before="100" w:beforeAutospacing="1"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 1 января 2025 года</w:t>
            </w:r>
          </w:p>
        </w:tc>
        <w:tc>
          <w:tcPr>
            <w:tcW w:w="255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30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Пороговое значение</w:t>
            </w:r>
          </w:p>
          <w:p w:rsidR="00A97DD0" w:rsidRDefault="00A97DD0">
            <w:pPr>
              <w:spacing w:before="100" w:beforeAutospacing="1"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с 1 января 2025 года</w:t>
            </w:r>
          </w:p>
        </w:tc>
      </w:tr>
      <w:tr w:rsidR="00A97DD0" w:rsidTr="00A97DD0">
        <w:tc>
          <w:tcPr>
            <w:tcW w:w="226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426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30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 150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 xml:space="preserve"> включительно с учетом ежегодной индексации — использование стандартных ставок</w:t>
            </w:r>
          </w:p>
          <w:p w:rsidR="00A97DD0" w:rsidRDefault="00A97DD0">
            <w:pPr>
              <w:spacing w:before="100" w:beforeAutospacing="1" w:after="30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Свыше 150 и до 200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 xml:space="preserve"> включительно с учетом ежегодной индексации — использование </w:t>
            </w: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lastRenderedPageBreak/>
              <w:t>повышенных ставок</w:t>
            </w:r>
          </w:p>
          <w:p w:rsidR="00A97DD0" w:rsidRDefault="00A97DD0">
            <w:pPr>
              <w:spacing w:before="100" w:beforeAutospacing="1"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(Для </w:t>
            </w:r>
            <w:hyperlink r:id="rId8" w:history="1">
              <w:r>
                <w:rPr>
                  <w:rStyle w:val="a3"/>
                  <w:rFonts w:ascii="Trebuchet MS" w:eastAsia="Times New Roman" w:hAnsi="Trebuchet MS"/>
                  <w:color w:val="0066CC"/>
                  <w:sz w:val="24"/>
                  <w:szCs w:val="24"/>
                  <w:lang w:eastAsia="ru-RU"/>
                </w:rPr>
                <w:t>2024 года</w:t>
              </w:r>
            </w:hyperlink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 с учетом коэффициента-дефлятора 1,329 действуют значения: 199,35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 руб. и 265,8 млн руб.)</w:t>
            </w:r>
          </w:p>
        </w:tc>
        <w:tc>
          <w:tcPr>
            <w:tcW w:w="255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lastRenderedPageBreak/>
              <w:t>450 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 xml:space="preserve"> руб. (с учетом коэффициента-дефлятора. Коэффициент-дефлятор на 2025 год для УСН </w:t>
            </w: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lastRenderedPageBreak/>
              <w:t>на момент написания статьи известен не был, обычно такая информация появляется в октябре-ноябре)</w:t>
            </w:r>
          </w:p>
        </w:tc>
      </w:tr>
      <w:tr w:rsidR="00A97DD0" w:rsidTr="00A97DD0">
        <w:tc>
          <w:tcPr>
            <w:tcW w:w="226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lastRenderedPageBreak/>
              <w:t>Средняя численность сотрудников</w:t>
            </w:r>
          </w:p>
        </w:tc>
        <w:tc>
          <w:tcPr>
            <w:tcW w:w="426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30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 100 человек включительно — использование стандартных ставок</w:t>
            </w:r>
          </w:p>
          <w:p w:rsidR="00A97DD0" w:rsidRDefault="00A97DD0">
            <w:pPr>
              <w:spacing w:before="100" w:beforeAutospacing="1"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Свыше 100 и до 130 человек — использование повышенных ставок</w:t>
            </w:r>
          </w:p>
        </w:tc>
        <w:tc>
          <w:tcPr>
            <w:tcW w:w="255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130 человек</w:t>
            </w:r>
          </w:p>
        </w:tc>
      </w:tr>
      <w:tr w:rsidR="00A97DD0" w:rsidTr="00A97DD0">
        <w:tc>
          <w:tcPr>
            <w:tcW w:w="226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Остаточная стоимость основных средств</w:t>
            </w:r>
          </w:p>
        </w:tc>
        <w:tc>
          <w:tcPr>
            <w:tcW w:w="426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150 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 руб.</w:t>
            </w:r>
          </w:p>
        </w:tc>
        <w:tc>
          <w:tcPr>
            <w:tcW w:w="255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200 </w:t>
            </w:r>
            <w:proofErr w:type="gramStart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 руб. (с учетом коэффициента-дефлятора)</w:t>
            </w:r>
          </w:p>
        </w:tc>
      </w:tr>
      <w:tr w:rsidR="00A97DD0" w:rsidTr="00A97DD0">
        <w:tc>
          <w:tcPr>
            <w:tcW w:w="2265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Доля участия юридических лиц в уставном капитале</w:t>
            </w:r>
          </w:p>
        </w:tc>
        <w:tc>
          <w:tcPr>
            <w:tcW w:w="426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2550" w:type="dxa"/>
            <w:tcBorders>
              <w:top w:val="single" w:sz="6" w:space="0" w:color="6A6A6A"/>
              <w:left w:val="single" w:sz="6" w:space="0" w:color="6A6A6A"/>
              <w:bottom w:val="single" w:sz="6" w:space="0" w:color="6A6A6A"/>
              <w:right w:val="single" w:sz="6" w:space="0" w:color="6A6A6A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7DD0" w:rsidRDefault="00A97DD0">
            <w:pPr>
              <w:spacing w:after="0" w:line="288" w:lineRule="atLeast"/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rebuchet MS" w:eastAsia="Times New Roman" w:hAnsi="Trebuchet MS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</w:tbl>
    <w:p w:rsidR="00A97DD0" w:rsidRDefault="00A97DD0" w:rsidP="00967C93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Напомним, что, кроме числовых ограничений, существует запрет на наличие филиалов и на осуществление определенных видов деятельности. Для применения УСН в 2025 году условия, обозначенные выше, сохраняются.</w:t>
      </w:r>
    </w:p>
    <w:p w:rsidR="00A97DD0" w:rsidRDefault="00A97DD0" w:rsidP="00967C93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 w:rsidRPr="00967C93">
        <w:rPr>
          <w:rFonts w:ascii="Trebuchet MS" w:eastAsia="Times New Roman" w:hAnsi="Trebuchet MS"/>
          <w:b/>
          <w:color w:val="000000"/>
          <w:sz w:val="24"/>
          <w:szCs w:val="24"/>
          <w:lang w:eastAsia="ru-RU"/>
        </w:rPr>
        <w:t>ВАЖНО! 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С 2025 года право на УСН утрачивается не с начала квартала, а с 1 числа месяца, в котором доходы превысили 450 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руб. </w:t>
      </w:r>
    </w:p>
    <w:p w:rsidR="00A97DD0" w:rsidRDefault="00A97DD0" w:rsidP="00EC718F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Ставки на УСН с 2025 года</w:t>
      </w:r>
    </w:p>
    <w:p w:rsidR="00A97DD0" w:rsidRDefault="00A97DD0" w:rsidP="00EC718F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Изначально Налоговым кодексом утверждены две ставки по УСН: 6% для объекта «доходы» и 15% для объекта «доходы минус расходы». Регионы были вправе вводить более низкие ставки для определенных видов деятельности при соблюдении конкретных условий.</w:t>
      </w:r>
    </w:p>
    <w:p w:rsidR="00A97DD0" w:rsidRDefault="00A97DD0" w:rsidP="00EC718F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С 2021 года действовали </w:t>
      </w:r>
      <w:hyperlink r:id="rId9" w:history="1">
        <w:r w:rsidRPr="00EC718F">
          <w:rPr>
            <w:rStyle w:val="a3"/>
            <w:rFonts w:ascii="Trebuchet MS" w:eastAsia="Times New Roman" w:hAnsi="Trebuchet MS"/>
            <w:color w:val="auto"/>
            <w:sz w:val="24"/>
            <w:szCs w:val="24"/>
            <w:u w:val="none"/>
            <w:lang w:eastAsia="ru-RU"/>
          </w:rPr>
          <w:t>повышенные ставки</w:t>
        </w:r>
      </w:hyperlink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налога для случаев превышения лимитов по выручке и средней численности персонала (все числовые значения были представлены в таблице предыдущего раздела). Для объекта «доходы» действовала и до конца 2024 года продолжает действовать дополнительная ставка 8%, для объекта «доходы минус расходы» — 20%. Однако, значительно подняв лимиты по доходам для целей применения УСН и утвердив единый лимит по численности, законодатели решили отказаться от повышенных ставок. Поэтому с 1 января 2025 года в НК РФ снова будут зафиксированы лишь две основные ставки — 6% и 15%.</w:t>
      </w:r>
    </w:p>
    <w:p w:rsidR="00A97DD0" w:rsidRDefault="00A97DD0" w:rsidP="00A97DD0">
      <w:pPr>
        <w:pBdr>
          <w:top w:val="single" w:sz="6" w:space="15" w:color="008000"/>
          <w:left w:val="single" w:sz="6" w:space="15" w:color="008000"/>
          <w:bottom w:val="single" w:sz="6" w:space="15" w:color="008000"/>
          <w:right w:val="single" w:sz="6" w:space="15" w:color="008000"/>
        </w:pBd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8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8000"/>
          <w:sz w:val="24"/>
          <w:szCs w:val="24"/>
          <w:lang w:eastAsia="ru-RU"/>
        </w:rPr>
        <w:lastRenderedPageBreak/>
        <w:t>ВАЖНО! За регионами останется право снижать базовые ставки, обозначенные в Налоговом кодексе РФ, на основании законов субъектов РФ.</w:t>
      </w:r>
    </w:p>
    <w:p w:rsidR="00A97DD0" w:rsidRDefault="00A97DD0" w:rsidP="00862DD4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Переходим на упрощенку с 2025 года по новым правилам</w:t>
      </w:r>
    </w:p>
    <w:p w:rsidR="00A97DD0" w:rsidRDefault="00A97DD0" w:rsidP="00862DD4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Для перехода на УСН с 1 января 2025 года доход потенциальных упрощенцев не должен за 9 месяцев 2024 года превышать 337,5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 Это значение было увеличено в три раза, ведь ранее для перехода на оговариваемый спецрежим размер доходов за 9 месяцев не должен был превышать 112,5 млн руб.</w:t>
      </w:r>
    </w:p>
    <w:p w:rsidR="00A97DD0" w:rsidRDefault="00A97DD0" w:rsidP="00862DD4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 переходный период 2024-2025 годов есть один нюанс. Если в 2024 году организация или ИП слетели с упрощенки ввиду превышения лимита по выручке в 265,8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руб., то у них есть возможность вернуться на УСН с 1 января 2025 года (в общих случаях начать применять упрощенный режим налогообложения можно не ранее, чем через полный календарный год после слета). Условие заключается в том, что итоговая сумма доходов за 9 месяцев (и на УСН, и уже после слета, на ОСНО) не должна превышать 337,5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</w:t>
      </w:r>
    </w:p>
    <w:p w:rsidR="00A97DD0" w:rsidRDefault="00A97DD0" w:rsidP="003122AC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Новые налоги для УСН в 2025 году</w:t>
      </w:r>
    </w:p>
    <w:p w:rsidR="00A97DD0" w:rsidRDefault="00A97DD0" w:rsidP="003122AC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Глобальным изменением в УСН с 2025 года является переход упрощенцев в категорию плательщиков НДС. Однако здесь получить освобождение от налога будет чуть проще, чем на общем режиме — не придется подавать уведомление на освобождение с подтверждающими документами. Освобождение будет получено автоматически, если за предыдущий календарный год доходы упрощенца либо субъекта, собирающегося переходить на УСН, составят не более 60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 Если этот показатель будет превышен, то с 1 января нового года упрощенец начнет рассчитывать и платить новый для него налог.</w:t>
      </w:r>
    </w:p>
    <w:p w:rsidR="00A97DD0" w:rsidRDefault="00A97DD0" w:rsidP="00C64EB4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Работать с автоматическим освобождением от налога субъекты смогут с 1 января и до момента, в котором их совокупный доход с начала года не превысит 60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 После этого освобождение утратит силу и придется исчислять налог к уплате в бюджет.</w:t>
      </w:r>
    </w:p>
    <w:p w:rsidR="00A97DD0" w:rsidRDefault="00A97DD0" w:rsidP="00A97DD0">
      <w:pPr>
        <w:pBdr>
          <w:top w:val="single" w:sz="6" w:space="15" w:color="008000"/>
          <w:left w:val="single" w:sz="6" w:space="15" w:color="008000"/>
          <w:bottom w:val="single" w:sz="6" w:space="15" w:color="008000"/>
          <w:right w:val="single" w:sz="6" w:space="15" w:color="008000"/>
        </w:pBd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8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8000"/>
          <w:sz w:val="24"/>
          <w:szCs w:val="24"/>
          <w:lang w:eastAsia="ru-RU"/>
        </w:rPr>
        <w:t xml:space="preserve">ФНС выпустила методичку по НДС для лиц на УСН с 2025 года. </w:t>
      </w:r>
    </w:p>
    <w:p w:rsidR="00A97DD0" w:rsidRDefault="00A97DD0" w:rsidP="00116DBD">
      <w:pPr>
        <w:shd w:val="clear" w:color="auto" w:fill="FFFFFF"/>
        <w:spacing w:before="450" w:after="300" w:line="312" w:lineRule="atLeast"/>
        <w:jc w:val="center"/>
        <w:outlineLvl w:val="2"/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  <w:t>Обновленные ставки НДС для УСН</w:t>
      </w:r>
    </w:p>
    <w:p w:rsidR="00A97DD0" w:rsidRDefault="00A97DD0" w:rsidP="00A97DD0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Ставки для расчета будут следующими:</w:t>
      </w:r>
    </w:p>
    <w:p w:rsidR="00A97DD0" w:rsidRDefault="00A97DD0" w:rsidP="00A97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0%;</w:t>
      </w:r>
    </w:p>
    <w:p w:rsidR="00A97DD0" w:rsidRDefault="00A97DD0" w:rsidP="00A97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5%;</w:t>
      </w:r>
    </w:p>
    <w:p w:rsidR="00A97DD0" w:rsidRDefault="00A97DD0" w:rsidP="00A97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7%;</w:t>
      </w:r>
    </w:p>
    <w:p w:rsidR="00A97DD0" w:rsidRDefault="00A97DD0" w:rsidP="00A97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lastRenderedPageBreak/>
        <w:t>10%;</w:t>
      </w:r>
    </w:p>
    <w:p w:rsidR="00A97DD0" w:rsidRDefault="00A97DD0" w:rsidP="00A97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20%;</w:t>
      </w:r>
    </w:p>
    <w:p w:rsidR="00A97DD0" w:rsidRDefault="00A97DD0" w:rsidP="00A97D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расчетные — 5/105, 7/107, 10/110, 20/120.</w:t>
      </w:r>
    </w:p>
    <w:p w:rsidR="00A97DD0" w:rsidRDefault="00A97DD0" w:rsidP="00A97DD0">
      <w:pPr>
        <w:shd w:val="clear" w:color="auto" w:fill="FFFFFF"/>
        <w:spacing w:before="100" w:beforeAutospacing="1" w:after="300" w:line="240" w:lineRule="auto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Для ставок 0% и 10% определен закрытый перечень операций. Ставка 20% общая.</w:t>
      </w:r>
    </w:p>
    <w:p w:rsidR="00A97DD0" w:rsidRDefault="00A97DD0" w:rsidP="007938A3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Пониженные ставки 5% и 7% новые. Возможность их использования будет определяться отдельными лимитами доходов по УСН в 2025 году и далее с учетом ежегодной индексации:</w:t>
      </w:r>
    </w:p>
    <w:p w:rsidR="00A97DD0" w:rsidRDefault="00A97DD0" w:rsidP="007938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5% — можно использовать, если совокупный доход упрощенца с начала года не превысил 250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руб.;</w:t>
      </w:r>
    </w:p>
    <w:p w:rsidR="00A97DD0" w:rsidRDefault="00A97DD0" w:rsidP="007938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7% — возможна для использования, если суммарный доход не превысил 450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</w:t>
      </w:r>
    </w:p>
    <w:p w:rsidR="00A97DD0" w:rsidRDefault="00A97DD0" w:rsidP="007938A3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Утратившие право на освобождение смогут выбрать: использовать стандартную ставку 20% при любой величине доходов или применять пониженные ставки в пределах утвержденных лимитов. При этом нужно понимать, что выбор льготных ставок приведет к невозможности заявлять вычет по входящим счетам-фактурам.</w:t>
      </w:r>
    </w:p>
    <w:p w:rsidR="00A97DD0" w:rsidRDefault="00A97DD0" w:rsidP="007938A3">
      <w:pPr>
        <w:shd w:val="clear" w:color="auto" w:fill="FFFFFF"/>
        <w:spacing w:before="450" w:after="300" w:line="312" w:lineRule="atLeast"/>
        <w:jc w:val="both"/>
        <w:outlineLvl w:val="2"/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0"/>
          <w:szCs w:val="30"/>
          <w:lang w:eastAsia="ru-RU"/>
        </w:rPr>
        <w:t>Новые обязанности упрощенцев в части НДС</w:t>
      </w:r>
    </w:p>
    <w:p w:rsidR="00A97DD0" w:rsidRDefault="00A97DD0" w:rsidP="007938A3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 связи с появлением необходимости начислять НДС у налогоплательщиков УСН с 2025 года возникают новые обязанности:</w:t>
      </w:r>
    </w:p>
    <w:p w:rsidR="00A97DD0" w:rsidRDefault="00A97DD0" w:rsidP="007938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Выставление счетов-фактур.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От него </w:t>
      </w:r>
      <w:hyperlink r:id="rId10" w:history="1">
        <w:r w:rsidRPr="004B4E38">
          <w:rPr>
            <w:rStyle w:val="a3"/>
            <w:rFonts w:ascii="Trebuchet MS" w:eastAsia="Times New Roman" w:hAnsi="Trebuchet MS"/>
            <w:color w:val="auto"/>
            <w:sz w:val="24"/>
            <w:szCs w:val="24"/>
            <w:u w:val="none"/>
            <w:lang w:eastAsia="ru-RU"/>
          </w:rPr>
          <w:t>освобождены</w:t>
        </w:r>
      </w:hyperlink>
      <w:r w:rsidRPr="004B4E38">
        <w:rPr>
          <w:rFonts w:ascii="Trebuchet MS" w:eastAsia="Times New Roman" w:hAnsi="Trebuchet MS"/>
          <w:sz w:val="24"/>
          <w:szCs w:val="24"/>
          <w:lang w:eastAsia="ru-RU"/>
        </w:rPr>
        <w:t> 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упрощенцы, которые подпадают под НДС-освобождение.</w:t>
      </w:r>
    </w:p>
    <w:p w:rsidR="00A97DD0" w:rsidRDefault="00A97DD0" w:rsidP="007938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Ведение налоговых регистров по НДС для корректного расчета налога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. При этом </w:t>
      </w:r>
      <w:hyperlink r:id="rId11" w:history="1">
        <w:r w:rsidRPr="004B4E38">
          <w:rPr>
            <w:rStyle w:val="a3"/>
            <w:rFonts w:ascii="Trebuchet MS" w:eastAsia="Times New Roman" w:hAnsi="Trebuchet MS"/>
            <w:color w:val="auto"/>
            <w:sz w:val="24"/>
            <w:szCs w:val="24"/>
            <w:u w:val="none"/>
            <w:lang w:eastAsia="ru-RU"/>
          </w:rPr>
          <w:t>книгу продаж</w:t>
        </w:r>
      </w:hyperlink>
      <w:r w:rsidRPr="004B4E38">
        <w:rPr>
          <w:rFonts w:ascii="Trebuchet MS" w:eastAsia="Times New Roman" w:hAnsi="Trebuchet MS"/>
          <w:sz w:val="24"/>
          <w:szCs w:val="24"/>
          <w:lang w:eastAsia="ru-RU"/>
        </w:rPr>
        <w:t> 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придется вести всем упрощенцам, кроме освобожденных от НДС, а книгу покупок будут оформлять только те субъекты, которые откажутся от использования пониженных ставок 5% и 7% и, соответственно, будут заявлять вычеты по налогу.</w:t>
      </w:r>
    </w:p>
    <w:p w:rsidR="00A97DD0" w:rsidRDefault="00A97DD0" w:rsidP="007938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Заполнение и представление </w:t>
      </w:r>
      <w:hyperlink r:id="rId12" w:history="1">
        <w:r w:rsidRPr="004B4E38">
          <w:rPr>
            <w:rStyle w:val="a3"/>
            <w:rFonts w:ascii="Trebuchet MS" w:eastAsia="Times New Roman" w:hAnsi="Trebuchet MS"/>
            <w:b/>
            <w:color w:val="auto"/>
            <w:sz w:val="24"/>
            <w:szCs w:val="24"/>
            <w:u w:val="none"/>
            <w:lang w:eastAsia="ru-RU"/>
          </w:rPr>
          <w:t>декларации по НДС</w:t>
        </w:r>
      </w:hyperlink>
      <w:r w:rsidRPr="004B4E38">
        <w:rPr>
          <w:rFonts w:ascii="Trebuchet MS" w:eastAsia="Times New Roman" w:hAnsi="Trebuchet MS"/>
          <w:b/>
          <w:bCs/>
          <w:sz w:val="24"/>
          <w:szCs w:val="24"/>
          <w:lang w:eastAsia="ru-RU"/>
        </w:rPr>
        <w:t> </w:t>
      </w: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в налоговую инспекцию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. Срок, как и для общережимников, установлен на 25-е число месяца, следующего за отчетным кварталом. Не сдавать декларацию смогут только лица, получившие автоматическое освобождение от НДС. Тем не 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менее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оно не спасет от представления НДС-отчетности тех, кто выписал по договоренности с партнерами счет-фактуру с выделенной суммой НДС, налоговых агентов по НДС и импортеров товаров.</w:t>
      </w:r>
    </w:p>
    <w:p w:rsidR="00A97DD0" w:rsidRDefault="00A97DD0" w:rsidP="007938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Своевременная</w:t>
      </w:r>
      <w:r w:rsidRPr="004B4E38">
        <w:rPr>
          <w:rFonts w:ascii="Trebuchet MS" w:eastAsia="Times New Roman" w:hAnsi="Trebuchet MS"/>
          <w:b/>
          <w:bCs/>
          <w:sz w:val="24"/>
          <w:szCs w:val="24"/>
          <w:lang w:eastAsia="ru-RU"/>
        </w:rPr>
        <w:t> </w:t>
      </w:r>
      <w:hyperlink r:id="rId13" w:history="1">
        <w:r w:rsidRPr="004B4E38">
          <w:rPr>
            <w:rStyle w:val="a3"/>
            <w:rFonts w:ascii="Trebuchet MS" w:eastAsia="Times New Roman" w:hAnsi="Trebuchet MS"/>
            <w:b/>
            <w:color w:val="auto"/>
            <w:sz w:val="24"/>
            <w:szCs w:val="24"/>
            <w:u w:val="none"/>
            <w:lang w:eastAsia="ru-RU"/>
          </w:rPr>
          <w:t>уплата НДС</w:t>
        </w:r>
      </w:hyperlink>
      <w:r>
        <w:rPr>
          <w:rFonts w:ascii="Trebuchet MS" w:eastAsia="Times New Roman" w:hAnsi="Trebuchet MS"/>
          <w:b/>
          <w:bCs/>
          <w:color w:val="000000"/>
          <w:sz w:val="24"/>
          <w:szCs w:val="24"/>
          <w:lang w:eastAsia="ru-RU"/>
        </w:rPr>
        <w:t> в бюджет</w:t>
      </w: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. Производится посредством механизма единого налогового платежа (ЕНП) без представления уведомлений об исчисленных суммах налога. Принципы уплаты аналогичны тем, что используют лица на ОСНО:</w:t>
      </w:r>
    </w:p>
    <w:p w:rsidR="00A97DD0" w:rsidRDefault="00A97DD0" w:rsidP="007938A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Размер налога, исчисленный к уплате по декларации, необходимо разделить на три равные доли.</w:t>
      </w:r>
    </w:p>
    <w:p w:rsidR="00A97DD0" w:rsidRDefault="00A97DD0" w:rsidP="007938A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Каждая доля переводится в бюджет ежемесячно, начиная с 1-го месяца нового квартала по истечении отчетного.</w:t>
      </w:r>
    </w:p>
    <w:p w:rsidR="00A97DD0" w:rsidRDefault="00A97DD0" w:rsidP="007938A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Срок перечисления каждой доли — до 28-го числа.</w:t>
      </w:r>
    </w:p>
    <w:p w:rsidR="00A97DD0" w:rsidRDefault="00A97DD0" w:rsidP="007938A3">
      <w:pPr>
        <w:pBdr>
          <w:top w:val="single" w:sz="6" w:space="15" w:color="814C01"/>
          <w:left w:val="single" w:sz="6" w:space="15" w:color="814C01"/>
          <w:bottom w:val="single" w:sz="6" w:space="15" w:color="814C01"/>
          <w:right w:val="single" w:sz="6" w:space="15" w:color="814C01"/>
        </w:pBd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814C01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814C01"/>
          <w:sz w:val="24"/>
          <w:szCs w:val="24"/>
          <w:lang w:eastAsia="ru-RU"/>
        </w:rPr>
        <w:lastRenderedPageBreak/>
        <w:t>ВНИМАНИЕ! Упрощенцы с автоматическим освобождением при выставлении счета-фактуры с выделенной суммой налога приведенной выше схемой воспользоваться не смогут. Их обяжут платить выделенный НДС по выставленным счетам-фактурам за квартал в срок до 28-го числа месяца, следующего за отчетным кварталом, в полном размере без разбивки на части.</w:t>
      </w:r>
    </w:p>
    <w:p w:rsidR="00A97DD0" w:rsidRDefault="00A97DD0" w:rsidP="007938A3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Невыполнение любой из этих обязанностей грозит негативными последствиями. Так, например, отсутствие и непредставление регистров налогового учета может привести к штрафам по ст. 120 НК РФ, результатом несдачи или опоздания со сдачей декларации станет штраф по ст. 119 НК РФ или блокировка счета. А неуплаченный в срок налог приведет к начислению пеней.</w:t>
      </w:r>
    </w:p>
    <w:p w:rsidR="00A97DD0" w:rsidRDefault="00A97DD0" w:rsidP="00BD22D6">
      <w:pPr>
        <w:shd w:val="clear" w:color="auto" w:fill="FFFFFF"/>
        <w:spacing w:before="600" w:after="300" w:line="312" w:lineRule="atLeast"/>
        <w:jc w:val="center"/>
        <w:outlineLvl w:val="1"/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</w:pPr>
      <w:r>
        <w:rPr>
          <w:rFonts w:ascii="Trebuchet MS" w:eastAsia="Times New Roman" w:hAnsi="Trebuchet MS"/>
          <w:b/>
          <w:bCs/>
          <w:color w:val="000000"/>
          <w:sz w:val="38"/>
          <w:szCs w:val="38"/>
          <w:lang w:eastAsia="ru-RU"/>
        </w:rPr>
        <w:t>Итоги</w:t>
      </w:r>
    </w:p>
    <w:p w:rsidR="00A97DD0" w:rsidRDefault="00A97DD0" w:rsidP="008011DD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Итак, закон об изменениях в УСН с 2025 года принят и подписан президентом РФ. Что же ожидает упрощенцев в будущем?</w:t>
      </w:r>
    </w:p>
    <w:p w:rsidR="00A97DD0" w:rsidRDefault="00A97DD0" w:rsidP="008011DD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Во-первых, повышенные лимиты доходов:</w:t>
      </w:r>
    </w:p>
    <w:p w:rsidR="00A97DD0" w:rsidRDefault="00A97DD0" w:rsidP="008011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до 450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 в год — для тех, кто использует этот спецрежим,</w:t>
      </w:r>
    </w:p>
    <w:p w:rsidR="00A97DD0" w:rsidRDefault="00A97DD0" w:rsidP="008011D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до 337,5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 за 9 месяцев — для тех, кто планирует переходить на упрощенку с нового календарного года.</w:t>
      </w:r>
    </w:p>
    <w:p w:rsidR="00A97DD0" w:rsidRDefault="00A97DD0" w:rsidP="008011DD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Во-вторых, увеличение показателей средней численности до 130 человек (с использованием стандартных ставок) и остаточной стоимости основных средств до 200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 Причем последний показатель станет индексируемым на коэффициент-дефлятор.</w:t>
      </w:r>
    </w:p>
    <w:p w:rsidR="00A97DD0" w:rsidRDefault="00A97DD0" w:rsidP="008011DD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В-третьих, отмена повышенных ставок 8% и 20%. С 2025 года останутся две базовые ставки — 6% и 15%, а регионы продолжат 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пользоваться правом снижать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 xml:space="preserve"> их.</w:t>
      </w:r>
    </w:p>
    <w:p w:rsidR="00A97DD0" w:rsidRDefault="00A97DD0" w:rsidP="008011DD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На этом позитивные налоговые изменения с 2025 года для УСН-плательщиков заканчиваются.</w:t>
      </w:r>
    </w:p>
    <w:p w:rsidR="00A97DD0" w:rsidRDefault="00A97DD0" w:rsidP="008011DD">
      <w:pPr>
        <w:shd w:val="clear" w:color="auto" w:fill="FFFFFF"/>
        <w:spacing w:before="100" w:beforeAutospacing="1" w:after="30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Наиболее негативным проявлением налоговой реформы УСН 2025 года станет введение обязанности для упрощенцев по исчислению и уплате НДС в бюджет. Те, у кого небольшие доходы (до 60 </w:t>
      </w:r>
      <w:proofErr w:type="gramStart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млн</w:t>
      </w:r>
      <w:proofErr w:type="gramEnd"/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 руб. в год), смогут получить автоматическое освобождение. Остальным же придется учиться рассчитывать налог, выставлять счета-фактуры, вести книгу покупок (необязательно) и продаж (обязательно) и заполнять соответствующую декларацию.</w:t>
      </w:r>
    </w:p>
    <w:p w:rsidR="00A97DD0" w:rsidRDefault="00A97DD0" w:rsidP="008011DD">
      <w:pPr>
        <w:shd w:val="clear" w:color="auto" w:fill="FFFFFF"/>
        <w:spacing w:before="100" w:beforeAutospacing="1" w:after="0" w:line="240" w:lineRule="auto"/>
        <w:jc w:val="both"/>
        <w:rPr>
          <w:rFonts w:ascii="Trebuchet MS" w:eastAsia="Times New Roman" w:hAnsi="Trebuchet MS"/>
          <w:color w:val="000000"/>
          <w:sz w:val="24"/>
          <w:szCs w:val="24"/>
          <w:lang w:eastAsia="ru-RU"/>
        </w:rPr>
      </w:pPr>
      <w:r>
        <w:rPr>
          <w:rFonts w:ascii="Trebuchet MS" w:eastAsia="Times New Roman" w:hAnsi="Trebuchet MS"/>
          <w:color w:val="000000"/>
          <w:sz w:val="24"/>
          <w:szCs w:val="24"/>
          <w:lang w:eastAsia="ru-RU"/>
        </w:rPr>
        <w:t>Отметим, что никакой отмены УСН с 2025 года, как поговаривали многие, не предусматривается. Однако этот спецрежим приблизят к общему путем введения обязанностей, связанных с НДС.</w:t>
      </w:r>
    </w:p>
    <w:p w:rsidR="00A97DD0" w:rsidRDefault="00A97DD0" w:rsidP="00A97DD0">
      <w:bookmarkStart w:id="0" w:name="_GoBack"/>
      <w:bookmarkEnd w:id="0"/>
    </w:p>
    <w:p w:rsidR="00A97DD0" w:rsidRDefault="00A97DD0" w:rsidP="00A97DD0"/>
    <w:p w:rsidR="004F22E1" w:rsidRDefault="004F22E1"/>
    <w:sectPr w:rsidR="004F22E1" w:rsidSect="004B4E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5979"/>
    <w:multiLevelType w:val="multilevel"/>
    <w:tmpl w:val="98CA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A146A"/>
    <w:multiLevelType w:val="multilevel"/>
    <w:tmpl w:val="D1AE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67441"/>
    <w:multiLevelType w:val="multilevel"/>
    <w:tmpl w:val="7E4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17AD7"/>
    <w:multiLevelType w:val="multilevel"/>
    <w:tmpl w:val="DF3C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C3083"/>
    <w:multiLevelType w:val="multilevel"/>
    <w:tmpl w:val="87B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D5"/>
    <w:rsid w:val="000211AF"/>
    <w:rsid w:val="00116DBD"/>
    <w:rsid w:val="001331EB"/>
    <w:rsid w:val="003122AC"/>
    <w:rsid w:val="004A10D5"/>
    <w:rsid w:val="004B4E38"/>
    <w:rsid w:val="004F22E1"/>
    <w:rsid w:val="0069189E"/>
    <w:rsid w:val="007938A3"/>
    <w:rsid w:val="008011DD"/>
    <w:rsid w:val="00862DD4"/>
    <w:rsid w:val="00967C93"/>
    <w:rsid w:val="00A97DD0"/>
    <w:rsid w:val="00BD22D6"/>
    <w:rsid w:val="00C64EB4"/>
    <w:rsid w:val="00E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D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-nalog.ru/usn/usloviya_primeneniya_usn/ne-vse-limity-po-usn-indeksiruyutsya/" TargetMode="External"/><Relationship Id="rId13" Type="http://schemas.openxmlformats.org/officeDocument/2006/relationships/hyperlink" Target="https://nalog-nalog.ru/nds/poryadok_i_sroki_uplaty_nds-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log-nalog.ru/away/?req=doc&amp;base=LAW&amp;n=477549&amp;dst=100406&amp;date=20.08.2024&amp;demo=1&amp;utm_source=nalog-nalog&amp;utm_medium=site&amp;utm_content=registration&amp;utm_term=universal__490c82e39e1e3ce4fa481f29d56065c451b51250&amp;link_text=%D1%81%D0%BF%D0%B5%D1%86%D0%B8%D0%B0%D0%BB%D1%8C%D0%BD%D0%BE%D0%BC+%D0%BE%D0%B1%D0%B7%D0%BE%D1%80%D0%B5" TargetMode="External"/><Relationship Id="rId12" Type="http://schemas.openxmlformats.org/officeDocument/2006/relationships/hyperlink" Target="https://nalog-nalog.ru/nds/deklaraciya_nds/kakoj_poryadok_zapolneniya_deklaracii_po_nds_primer_instrukciya_pravi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-nalog.ru/nalogovye-izmeneniya-2025/zakonoproekt-po-nalogovoj-reforme-proshel-vtoroe-chtenie/" TargetMode="External"/><Relationship Id="rId11" Type="http://schemas.openxmlformats.org/officeDocument/2006/relationships/hyperlink" Target="https://nalog-nalog.ru/nds/kniga_prodazh/primer_zapolneniya_knigi_prodazh_skachat_blank_obrazec-n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log-nalog.ru/nalogovye-izmeneniya-2025/uproshencev-osvobodyat-ot-schetov-fakt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log-nalog.ru/usn/usloviya_primeneniya_usn/kak-primenyat-povyshennye-limity-i-stavki-pri-us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1615</Words>
  <Characters>9207</Characters>
  <Application>Microsoft Office Word</Application>
  <DocSecurity>0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20</cp:revision>
  <dcterms:created xsi:type="dcterms:W3CDTF">2025-04-04T03:23:00Z</dcterms:created>
  <dcterms:modified xsi:type="dcterms:W3CDTF">2025-04-04T03:30:00Z</dcterms:modified>
</cp:coreProperties>
</file>