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Утверждено </w:t>
      </w: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Постановлением </w:t>
      </w: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Совета администрации края </w:t>
      </w: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br/>
        <w:t>от 19 января 2007 г. N 4-п</w:t>
      </w:r>
      <w:bookmarkStart w:id="0" w:name="_GoBack"/>
      <w:bookmarkEnd w:id="0"/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21"/>
          <w:szCs w:val="21"/>
          <w:lang w:eastAsia="ru-RU"/>
        </w:rPr>
      </w:pPr>
      <w:r w:rsidRPr="00042404">
        <w:rPr>
          <w:rFonts w:ascii="Arial" w:eastAsia="Times New Roman" w:hAnsi="Arial" w:cs="Arial"/>
          <w:b/>
          <w:bCs/>
          <w:color w:val="333366"/>
          <w:kern w:val="36"/>
          <w:sz w:val="21"/>
          <w:szCs w:val="21"/>
          <w:lang w:eastAsia="ru-RU"/>
        </w:rPr>
        <w:t>Положение о государственном комплексном заказнике краевого значения "</w:t>
      </w:r>
      <w:proofErr w:type="spellStart"/>
      <w:r w:rsidRPr="00042404">
        <w:rPr>
          <w:rFonts w:ascii="Arial" w:eastAsia="Times New Roman" w:hAnsi="Arial" w:cs="Arial"/>
          <w:b/>
          <w:bCs/>
          <w:color w:val="333366"/>
          <w:kern w:val="36"/>
          <w:sz w:val="21"/>
          <w:szCs w:val="21"/>
          <w:lang w:eastAsia="ru-RU"/>
        </w:rPr>
        <w:t>Арга</w:t>
      </w:r>
      <w:proofErr w:type="spellEnd"/>
      <w:r w:rsidRPr="00042404">
        <w:rPr>
          <w:rFonts w:ascii="Arial" w:eastAsia="Times New Roman" w:hAnsi="Arial" w:cs="Arial"/>
          <w:b/>
          <w:bCs/>
          <w:color w:val="333366"/>
          <w:kern w:val="36"/>
          <w:sz w:val="21"/>
          <w:szCs w:val="21"/>
          <w:lang w:eastAsia="ru-RU"/>
        </w:rPr>
        <w:t>"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jc w:val="center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(в ред. Постановления Правительства Красноярского края от 05.04.2011 N 173-п)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042404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1. ОБЩИЕ ПОЛОЖЕНИЯ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1.1. Государственный комплексный заказник "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Арга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 (далее - заказник) является особо охраняемой природной территорией краевого значения.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1.2. Заказник учитывается при разработке схем территориального планирования, правил землепользования и застройки, документации по планировке территории, иных видов градостроительной и землеустроительной документации, лесного плана Красноярского края, лесохозяйственных регламентов, схем комплексного использования и охраны водных объектов.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1.3. Заказник организован без ограничения срока действия и без изъятия земельных участков у пользователей, владельцев и собственников этих участков и не является юридическим лицом.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042404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2. Цель и задачи создания, основные объекты охраны заказника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2.1. Заказник организован с целью охраны и воспроизводства охотничьих видов животных, сохранения и восстановления 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численности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редких и находящихся под угрозой исчезновения видов зверей и птиц, ценных в хозяйственном, научном и эстетическом отношениях, а также охраны мест их обитания.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2.2. Заказник организован для выполнения следующих задач: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1) сохранение биоразнообразия уникального природного ландшафта южной тайги Красноярского края;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2) поддержание оптимальных условий размножения и миграции видов животного мира, включая виды, занесенные в Красную книгу Красноярского края;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3) осуществление мониторинга окружающей среды, животного мира, проведение научно-исследовательских работ;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4) организация системы экологического просвещения, воспитания и образования.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2.3. Основные охраняемые объекты: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1) редкие и находящиеся под угрозой исчезновения виды животных, занесенные в Красную книгу Красноярского края: орлан-белохвост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Haliaeetus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albicilla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журавль-красавка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Anthropoides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virgo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сапсан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Falco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peregrinus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Tunst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.), скопа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Pandion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haliaetus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черный аист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Ciconia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nigra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филин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Bubo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bubo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серый журавль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Grus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grus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большой кроншнеп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Numenius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arquata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большой веретенник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Limosa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limosa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камышница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Gallinula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chloropus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водяная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ночница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Myotis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daubentoni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Kuhl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.), сибирский трубконос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Murina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hilgendorfi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Pet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.), стерлядь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Acipenser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ruthenus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 - обская популяция р. Чулым, осетр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Acipenser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baerii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- обская популяция; ленок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Brachymystax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lenok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P.) - обская популяция;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2) виды животных, нуждающихся в особом внимании к их состоянию на территории Красноярского края (приложение к Красной книге Красноярского края): марал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Cervus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elaphus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сибирская косуля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Capreolus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pygargus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Pall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.) -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улуйско-боготольско-ачинская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группировка; рысь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Felis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lynx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нельма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Stenodus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leucichthys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 - популяционная группировка р. Чулым, бассейна р. Оби; средний кроншнеп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Numenius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phaeopus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3) охотничьи виды животных: лось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Alces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alces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соболь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Martes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zibellina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бурый медведь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Ursus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arctos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барсук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Meles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meles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колонок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Mustela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sibirica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Pall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.), норка американская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Mustela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vison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Schreb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.), бобр восточноевропейский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Castor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fiber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vistulanus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Matsch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.), глухарь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Tetrao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urogallus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тетерев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Lyrurus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tetrix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4) редкие и находящиеся под угрозой исчезновения виды растений: венерин башмачок настоящий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Cypripedium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calceolus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венерин башмачок крупноцветковый (C.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macranthon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Sw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.),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бруннера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сибирская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Brunnera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sibirica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Stev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.),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лобария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легочная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Lobaria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pulmonaria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надбородник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безлистный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Epipodium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aphyllum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(F.W.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Schmidt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),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спарассис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курчавый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Sparassis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crispa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Fr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), фиалка надрезанная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Viola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incisa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Turcz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), </w:t>
      </w: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ятрышник шлемоносный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Orchis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militaris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ковыль перистый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Stipa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pennata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L.),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жабрица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Ледебура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Seseli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ledebouri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Don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.), астрагал Ионы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Astragalus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ionae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Palib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.), венерин башмачок пятнистый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Cypripedium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guttatum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Sw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.),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дремлик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зимовниковый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Epipactis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helleborine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(L.)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Crautz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.), живокость шерстистая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Delphinium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retropilosum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Huth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.) </w:t>
      </w:r>
      <w:proofErr w:type="spellStart"/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Sambuk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.);</w:t>
      </w:r>
      <w:proofErr w:type="gramEnd"/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5) единый ландшафтный комплекс как среда обитания объектов животного мира.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042404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3. Местоположение, площадь и границы заказника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3.1. Заказник расположен на территории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Ачинского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Назаровского районов, включает в себя горный массив хребта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Арга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участок поймы р. Чулым.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3.2. Площадь заказника - 89885 га, в том числе на территории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Ачинского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района - 25200,7 га,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района - 64195 га, Назаровского района - 489,3 га.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3.3. Границы заказника: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1) 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северная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от устья р. Косуль вниз по течению р. Чулым (по левому берегу) до коллектора для подачи воды на технологические нужды ОАО "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Ачинский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глиноземный комбинат";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2) 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восточная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от р. Чулым вдоль коллектора для подачи воды на технологические нужды ОАО "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Ачинский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глиноземный комбинат" в юго-восточном направлении до восточной границы болота (N 56° 14, 128`; E 90° 20, 484`), затем по ландшафтной границе болота в южном, юго-западном направлении до оз. Большое (N 56° 13, 739`; 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E 90° 19, 907`), огибая озеро с северной, западной, а затем южной сторон.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Далее по границе г. Ачинска, огибая с западной и южной сторон пос.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Мазульский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до ЛЭП 110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кВ.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Затем по ЛЭП 110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кВ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юго-западном направлении до р. Каменка.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Далее вниз по течению р. Каменка (по ее левому берегу) до пересечения с железной дорогой Ачинск - Назарово и по ней в юго-западном, затем юго-восточном направлении до пересечения с 2 ЛЭП 220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кВ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3) южная - от пересечения железной дороги Ачинск - Назарово с 2 ЛЭП 220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кВ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затем вдоль ЛЭП в юго-западном направлении (500 м) до автодороги Каменный карьер - Верхняя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Чулымка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(граница с Назаровским районом). 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Далее в западном направлении по административной границе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Ачинского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Назаровского районов до о.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Подосинник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(N 56° 05, 155`; E 90° 09, 126`), огибая остров с северной и западной стороны.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Далее по левобережью р. Чулым в северо-западном направлении, минуя место впадения р. 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Прорва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до северной административной границы Назаровского района (N 56° 05, 969`; E 90° 05, 085`). Затем в западном направлении до административной границы с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Боготольским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районом. Далее в западном направлении вниз по течению р. Чулым (по левому берегу) и по административной границе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Назаровского районов, затем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и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Шарыповского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районов до устья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.У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рюп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4) 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западная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- от устья р.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Урюп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по левому берегу р. Чулым вниз по течению в северо-западном направлении (по административной границе Красноярского края и Кемеровской области) и далее по течению р. Чулым до исходной точки - устья р. Косуль.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3.4. Заказник 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расположен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в том числе на землях лесного фонда: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1)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лесничества: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Краснореченское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участковое лесничество: кварталы N 6 - 109;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Гремяченское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участковое лесничество: кварталы N 1 - 116, (лесоустройство 1991 г.);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Боготольское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сельское участковое лесничество: АО "Островное": кварталы N 1 - 13 (лесоустройство 1990 г.); совхоз "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Боготольский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": кварталы N 24, 25; АО "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Краснозаводское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": N 12, 13;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2)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Ачинского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лесничества: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Мазульское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участковое лесничество: кварталы N 4 - 70, 76, 81, 82ч, 83ч, 89ч, 91 (лесоустройство 1988 г.);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Тарутинское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сельское участковое лесничество: ГУСХП "Горный": кварталы N 8ч, 9 - 12, 13ч; СХПК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племзавод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"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Ачинский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": кварталы N 3 - 7, 10 - 16, 21 - 27, 35, 36, 44, 45; СХПК "Белоярский": квартал N 5ч.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 состав заказника не входят земли населенных пунктов.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3.5. По периметру границ заказник обозначается на местности предупредительными и информационными знаками.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042404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4. Режим особой охраны заказника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4.1. На территории заказника запрещается: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1) ведение охотничьего хозяйства и осуществление охоты;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2) сплошные и выборочные рубки лесных насаждений для заготовки древесины, за исключением выборочных рубок для заготовки древесины гражданами, проживающими в границах заказника, для собственных нужд в соответствии с нормативными правовыми актами Красноярского края;</w:t>
      </w:r>
      <w:proofErr w:type="gramEnd"/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3) проведение гидромелиоративных (за исключением работ по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рыбохозяйственной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мелиорации) и ирригационных работ, разработка полезных ископаемых (кроме разработки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Айдашенских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месторождений торфа и сапропелей);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4) проведение взрывных работ (кроме разработки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Айдашенских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месторождений торфа и сапропелей);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5) сплав леса;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6) заготовка пищевых лесных ресурсов,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недревесных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лесных ресурсов, сбор лекарственных растений, за исключением заготовки и сбора гражданами указанных ресурсов для собственных нужд;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7) выжигание травы на земельных участках, непосредственно примыкающих к лесам, защитным и озеленительным лесным насаждениям, без постоянного наблюдения;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8) промышленное рыболовство;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9) хранение токсичных химических препаратов, кроме специально оборудованных мест;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10) использование токсичных химических препаратов;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11) мойка любых транспортных сре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в пр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еделах прибрежной защитной полосы водных объектов;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12) засорение бытовыми, строительными, промышленными и иными отходами и мусором;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13) проезд и стоянка транспортных средств вне дорог общего пользования, за исключением транспорта органов, осуществляющих охрану и контроль за соблюдением установленного режима или иных правил охраны и использования природных ресурсов на территории заказника, а также спецтехники для осуществления сельскохозяйственных работ и мероприятий по ведению лесного хозяйства, воспроизводства, охраны и защиты природных ресурсов;</w:t>
      </w:r>
      <w:proofErr w:type="gramEnd"/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14) уничтожение или порча установленных предупредительных или информационных знаков (аншлагов).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4.2. Режим природного заказника не распространяется на территорию населенных пунктов и садоводческих обществ, образованных в соответствии с действующим законодательством.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4.3. Хозяйственная деятельность, не запрещенная на территории заказника, осуществляется в соответствии с законодательством Российской Федерации и режимом заказника, исходя из приоритетности охраняемых природных комплексов и объектов на этих территориях, и не должна противоречить целям образования заказника.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4.4. Строительство, реконструкция, капитальный ремонт объектов на территории заказника могут осуществляться по проектам, получившим положительные заключения государственных экспертиз в соответствии с законодательством Российской Федерации.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4.5. Использование объектов животного мира в научных целях и регулирование их численности на территории заказника осуществляется в соответствии с действующим законодательством.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4.6. Предоставление в пользование территории заказника или отдельных видов природных ресурсов на этой территории осуществляется в соответствии с действующим законодательством по согласованию с органом исполнительной власти Красноярского края, осуществляющим нормативное правовое регулирование в области организации и функционирования особо охраняемых территорий краевого значения.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4.7. Охрана, защита и воспроизводство лесов осуществляются на основании лесохозяйственного регламента, материалов лесоустройства и в соответствии с установленным режимом охраны заказника.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4.8. 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Санитарно-оздоровительные мероприятия на территории заказника осуществляются в соответствии с Правилами санитарной безопасности в лесах, утвержденными Постановлением Правительства Российской </w:t>
      </w: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lastRenderedPageBreak/>
        <w:t>Федерации от 29.06.2007 N 414 "Об утверждении Правил санитарной безопасности в лесах", мероприятия по уходу за лесами в соответствии с Правилами ухода за лесами, утвержденными Приказом Минприроды России от 16.07.2007 N 185 "Об утверждении правил ухода за лесами".</w:t>
      </w:r>
      <w:proofErr w:type="gramEnd"/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4.9. Сплошные рубки лесных насаждений осуществляются только в случае, если выборочные рубки не обеспечивают замену лесных насаждений, утрачивающих свои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средообразующие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,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водоохранные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, санитарно-гигиенические, оздоровительные и иные полезные функции, на лесные насаждения, обеспечивающие сохранение целевого назначения защитных лесов и выполняемых ими полезных функций. Проведение выборочных рубок лесных насаждений, расположенных на территории заказника, в целях охраны, защиты и воспроизводства лесов должно обеспечивать сохранность целевого назначения лесов и выполняемых ими функций.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4.10. Разрешенные виды рыболовства в границах заказника осуществляются в соответствии с Правилами рыболовства для Западно-Сибирского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рыбохозяйственного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бассейна, утвержденными Приказом Федерального агентства по рыболовству от 13.11.2008 N 319 "Об утверждении Правил рыболовства для Западно-Сибирского </w:t>
      </w:r>
      <w:proofErr w:type="spell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рыбохозяйственного</w:t>
      </w:r>
      <w:proofErr w:type="spell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бассейна".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4.11. Рекреационная и иная разрешенная деятельность на территории заказника должна осуществляться с соблюдением Правил пожарной безопасности в лесах, утвержденных Постановлением Правительства Российской Федерации от 30.06.2007 N 417 "Об утверждении Правил пожарной безопасности в лесах".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4.12. Установленный режим заказника обязаны соблюдать физические и юридические лица, осуществляющие деятельность на территории заказника.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042404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5. Охрана и </w:t>
      </w:r>
      <w:proofErr w:type="gramStart"/>
      <w:r w:rsidRPr="00042404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контроль за</w:t>
      </w:r>
      <w:proofErr w:type="gramEnd"/>
      <w:r w:rsidRPr="00042404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 соблюдением режима заказника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5.1. Охрана заказника осуществляется уполномоченным органом исполнительной власти края.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5.2. Охрана территории заказника, переданной по договору в пользование научно-исследовательским, образовательным учреждениям и другим организациям, осуществляется этими организациями.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5.3. Государственный контроль в области организации и функционирования заказника осуществляется органом исполнительной власти края, осуществляющим государственный контроль и надзор в области организации и функционирования особо охраняемых природных территорий.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5.4. Управление заказником осуществляется специально созданным краевым государственным учреждением "Дирекция по особо охраняемым природным территориям Красноярского края".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042404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6. Финансирование природоохранных мероприятий на территории заказника</w:t>
      </w:r>
    </w:p>
    <w:p w:rsidR="00042404" w:rsidRPr="00042404" w:rsidRDefault="00042404" w:rsidP="00042404">
      <w:pPr>
        <w:shd w:val="clear" w:color="auto" w:fill="FFFFFF"/>
        <w:spacing w:before="100" w:beforeAutospacing="1" w:after="100" w:afterAutospacing="1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6.1. Финансирование природоохранных мероприятий, проводимых на территории заказника, осуществляется за счет сре</w:t>
      </w:r>
      <w:proofErr w:type="gramStart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дств кр</w:t>
      </w:r>
      <w:proofErr w:type="gramEnd"/>
      <w:r w:rsidRPr="00042404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аевого бюджета и других источников, не запрещенных законодательством Российской Федерации и Красноярского края.</w:t>
      </w:r>
    </w:p>
    <w:p w:rsidR="008B3877" w:rsidRDefault="008B3877"/>
    <w:sectPr w:rsidR="008B3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404"/>
    <w:rsid w:val="00042404"/>
    <w:rsid w:val="008B3877"/>
    <w:rsid w:val="00FD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66"/>
  </w:style>
  <w:style w:type="paragraph" w:styleId="1">
    <w:name w:val="heading 1"/>
    <w:basedOn w:val="a"/>
    <w:link w:val="10"/>
    <w:uiPriority w:val="9"/>
    <w:qFormat/>
    <w:rsid w:val="0004240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4240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4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24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4240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0424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066"/>
  </w:style>
  <w:style w:type="paragraph" w:styleId="1">
    <w:name w:val="heading 1"/>
    <w:basedOn w:val="a"/>
    <w:link w:val="10"/>
    <w:uiPriority w:val="9"/>
    <w:qFormat/>
    <w:rsid w:val="0004240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42404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424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4240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4240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character" w:customStyle="1" w:styleId="apple-converted-space">
    <w:name w:val="apple-converted-space"/>
    <w:basedOn w:val="a0"/>
    <w:rsid w:val="00042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6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2024</Words>
  <Characters>11538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</cp:revision>
  <dcterms:created xsi:type="dcterms:W3CDTF">2015-01-20T00:41:00Z</dcterms:created>
  <dcterms:modified xsi:type="dcterms:W3CDTF">2015-01-20T00:45:00Z</dcterms:modified>
</cp:coreProperties>
</file>